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3.htm"/>
      <w:bookmarkStart w:id="1" w:name="ksforms3"/>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APTERA MOTORS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660" w:type="dxa"/>
        <w:jc w:val="left"/>
        <w:tblInd w:w="0" w:type="dxa"/>
        <w:tblLayout w:type="fixed"/>
        <w:tblCellMar>
          <w:top w:w="0" w:type="dxa"/>
          <w:left w:w="0" w:type="dxa"/>
          <w:bottom w:w="28" w:type="dxa"/>
          <w:right w:w="0" w:type="dxa"/>
        </w:tblCellMar>
      </w:tblPr>
      <w:tblGrid>
        <w:gridCol w:w="2705"/>
        <w:gridCol w:w="60"/>
        <w:gridCol w:w="1895"/>
      </w:tblGrid>
      <w:tr>
        <w:trPr/>
        <w:tc>
          <w:tcPr>
            <w:tcW w:w="27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83-4079594</w:t>
            </w:r>
          </w:p>
        </w:tc>
      </w:tr>
      <w:tr>
        <w:trPr/>
        <w:tc>
          <w:tcPr>
            <w:tcW w:w="270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5818 El Camino Real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Carlsbad, California 92008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858-371-3151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 Anthony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5818 El Camino Real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Carlsbad, California 92008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858-371-3151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Traci M. Tomaselli,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L. Forman,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G. Zapf,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Lowenstein Sandler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1251 Avenue of the Americas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(646) 414-6926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this registration statement on Form S-3 with the Securities and Exchange Commission (the “SEC”) using a “shelf registration” process. Under this registered “shelf,” in the future, we may, from time to time, sell any combination of the securities described herein, in one or more offerings, up to a maximum offering price of $250,000,000.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contains two prospectuses: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base prospectus which covers the offering, issuance and sale by us of up to a maximum aggregate offering price of $250,000,000 of our Class B common stock, preferred stock, warrants, debt securities, subscription rights and/or units from time to time in one or more offerings; and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sales agreement prospectus covering the offering, issuance and sale by us of up to a maximum aggregate offering price of $19,000,000 of our Class B common stock that may be issued and sold from time to time under a Controlled Equity Offering</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Sales Agreement (the “Sales Agreement”), with Cantor Fitzgerald &amp; Co., acting as sales agent and/or principal.</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prospectus immediately follows this explanatory note. The specific terms of any securities to be offered pursuant to the base prospectus other than the shares under the Sales Agreement will be specified in a prospectus supplement to the base prospectus. The sales agreement prospectus immediately follows the base prospectus. The $19,000,000 of Class B common stock that may be offered, issued and sold under the sales agreement prospectus is included in the $250,000,000 of securities that may be offered, issued and sold by us under the base prospectus. Upon termination of the Sales Agreement, any portion of the $19,000,000 included in the sales agreement prospectus that is not previously sold is available for sale in other offerings pursuant to the base prospectus, and if no shares are sold under the Sales Agreement, the full $250,000,000 of securities may be sold in other offerings pursuant to the base prospectus and a corresponding prospectus supplement.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under this prospectus until the registration statement of which it is a part and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45920" cy="16548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5920" cy="165481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from time to time in one or more offerings, any combination of Class B common stock, preferred stock, warrants, debt securities, subscription rights or units having an aggregate initial offering price not exceeding $250,000,000. The debt securities may consist of debentures, notes or other types of debt. The preferred stock, warrants, debt securities, subscription rights and units may be convertible or exercisable or exchangeable for Class B common stock or preferred stock or other securities of ours. The units may consist of any combination of the securities listed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a particular class or series of securities, we will provide specific terms of the securities offered in a supplement to this prospectus. The prospectus supplement may also add, update or change information in this prospectus. You should read this prospectus and any prospectus supplement, as well as the documents incorporated by reference or deemed to be incorporated by reference into this prospectus, carefully before you invest in 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sell our securities unless accompanied by a prospectus supplement relating to the offered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is traded on The Nasdaq Capital Market, or Nasdaq, under the symbol “SEV.” On September 28, 2026, the last reported sales price of our Class B common stock on Nasdaq was $1.98 per share. Each prospectus supplement will indicate if the securities offered thereby will be listed on any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may be sold directly by us, through dealers or agents designated from time to time, to or through underwriters or dealers or through a combination of these methods on a continuous or delayed basis. See “Plan of Distribution” in this prospectus. We may also describe the plan of distribution for any particular offering of our securities in a prospectus supplement. If any agents, underwriters or dealers are involved in the sale of any securities in respect of which this prospectus is being delivered, we will disclose their names and the nature of our arrangements with them in a prospectus supplement. The net proceeds we expect to receive from any such sale will also be included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28, 2026, the aggregate market value of our outstanding common stock held by non-affiliates, or the public float, was approximately $58.4 million, which was calculated based on 23,648,868 shares of our outstanding Class A common stock and Class B common stock held by non-affiliates at a price of $2.47 per share, the closing price of our Class B common stock on August 21, 2026. Pursuant to General Instruction I.B.6 of Form S-3, in no event will we sell shares pursuant to this prospectus with a value of more than one-third of the aggregate market value of our common stock held by non-affiliates in any 12-month period, so long as the aggregate market value of our common stock held by non-affiliates is less than $75,000,000. During the 12 calendar months prior to, and including, the date of this prospectus, we have not sold any securities pursuant to General Instruction I.B.6 of Form S-3.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various risks. See “Risk Factors” beginning on page S-6 of this prospectus and in the applicable prospectus supplement, and in the risks discussed in the documents incorporated by reference in this prospectus and in the applicable prospectus supplement, as they may be amended, updated or modified periodically in our reports filed with the Securities and Exchange Commission. You should carefully read and consider these risk factors before you invest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is dated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jc w:val="center"/>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5615"/>
        <w:gridCol w:w="425"/>
      </w:tblGrid>
      <w:tr>
        <w:trPr/>
        <w:tc>
          <w:tcPr>
            <w:tcW w:w="561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5615" w:type="dxa"/>
            <w:tcBorders/>
            <w:shd w:fill="CCEEFF" w:val="clear"/>
            <w:vAlign w:val="center"/>
          </w:tcPr>
          <w:p>
            <w:pPr>
              <w:pStyle w:val="TableContents"/>
              <w:bidi w:val="0"/>
              <w:spacing w:before="0" w:after="283"/>
              <w:jc w:val="both"/>
              <w:rPr/>
            </w:pPr>
            <w:hyperlink w:anchor="Sx_001">
              <w:r>
                <w:rPr>
                  <w:rStyle w:val="InternetLink"/>
                  <w:rFonts w:ascii="Times New Roman;Times;Serif" w:hAnsi="Times New Roman;Times;Serif"/>
                  <w:b w:val="false"/>
                  <w:i w:val="false"/>
                  <w:caps w:val="false"/>
                  <w:smallCaps w:val="false"/>
                  <w:sz w:val="20"/>
                </w:rPr>
                <w:t>ABOUT THIS PROSPECTUS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5615" w:type="dxa"/>
            <w:tcBorders/>
            <w:shd w:fill="FFFFFF" w:val="clear"/>
            <w:vAlign w:val="center"/>
          </w:tcPr>
          <w:p>
            <w:pPr>
              <w:pStyle w:val="TableContents"/>
              <w:bidi w:val="0"/>
              <w:spacing w:before="0" w:after="283"/>
              <w:jc w:val="both"/>
              <w:rPr/>
            </w:pPr>
            <w:hyperlink w:anchor="Sx_002">
              <w:r>
                <w:rPr>
                  <w:rStyle w:val="InternetLink"/>
                  <w:rFonts w:ascii="Times New Roman;Times;Serif" w:hAnsi="Times New Roman;Times;Serif"/>
                  <w:b w:val="false"/>
                  <w:i w:val="false"/>
                  <w:caps w:val="false"/>
                  <w:smallCaps w:val="false"/>
                  <w:sz w:val="20"/>
                </w:rPr>
                <w:t>DISCLOSURE REGARDING FORWARD-LOOKING STATEMENTS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w:t>
            </w:r>
          </w:p>
        </w:tc>
      </w:tr>
      <w:tr>
        <w:trPr/>
        <w:tc>
          <w:tcPr>
            <w:tcW w:w="5615" w:type="dxa"/>
            <w:tcBorders/>
            <w:shd w:fill="CCEEFF" w:val="clear"/>
            <w:vAlign w:val="center"/>
          </w:tcPr>
          <w:p>
            <w:pPr>
              <w:pStyle w:val="TableContents"/>
              <w:bidi w:val="0"/>
              <w:spacing w:before="0" w:after="283"/>
              <w:jc w:val="both"/>
              <w:rPr/>
            </w:pPr>
            <w:hyperlink w:anchor="Sx_003">
              <w:r>
                <w:rPr>
                  <w:rStyle w:val="InternetLink"/>
                  <w:rFonts w:ascii="Times New Roman;Times;Serif" w:hAnsi="Times New Roman;Times;Serif"/>
                  <w:b w:val="false"/>
                  <w:i w:val="false"/>
                  <w:caps w:val="false"/>
                  <w:smallCaps w:val="false"/>
                  <w:sz w:val="20"/>
                </w:rPr>
                <w:t>PROSPECTUS SUMMARY</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w:t>
            </w:r>
          </w:p>
        </w:tc>
      </w:tr>
      <w:tr>
        <w:trPr/>
        <w:tc>
          <w:tcPr>
            <w:tcW w:w="5615" w:type="dxa"/>
            <w:tcBorders/>
            <w:shd w:fill="FFFFFF" w:val="clear"/>
            <w:vAlign w:val="center"/>
          </w:tcPr>
          <w:p>
            <w:pPr>
              <w:pStyle w:val="TableContents"/>
              <w:bidi w:val="0"/>
              <w:spacing w:before="0" w:after="283"/>
              <w:jc w:val="both"/>
              <w:rPr/>
            </w:pPr>
            <w:hyperlink w:anchor="Sx_004">
              <w:r>
                <w:rPr>
                  <w:rStyle w:val="InternetLink"/>
                  <w:rFonts w:ascii="Times New Roman;Times;Serif" w:hAnsi="Times New Roman;Times;Serif"/>
                  <w:b w:val="false"/>
                  <w:i w:val="false"/>
                  <w:caps w:val="false"/>
                  <w:smallCaps w:val="false"/>
                  <w:sz w:val="20"/>
                </w:rPr>
                <w:t>RISK FACTORS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S-6</w:t>
            </w:r>
          </w:p>
        </w:tc>
      </w:tr>
      <w:tr>
        <w:trPr/>
        <w:tc>
          <w:tcPr>
            <w:tcW w:w="5615" w:type="dxa"/>
            <w:tcBorders/>
            <w:shd w:fill="CCEEFF" w:val="clear"/>
            <w:vAlign w:val="center"/>
          </w:tcPr>
          <w:p>
            <w:pPr>
              <w:pStyle w:val="TableContents"/>
              <w:bidi w:val="0"/>
              <w:spacing w:before="0" w:after="283"/>
              <w:jc w:val="both"/>
              <w:rPr/>
            </w:pPr>
            <w:hyperlink w:anchor="Sx_005">
              <w:r>
                <w:rPr>
                  <w:rStyle w:val="InternetLink"/>
                  <w:rFonts w:ascii="Times New Roman;Times;Serif" w:hAnsi="Times New Roman;Times;Serif"/>
                  <w:b w:val="false"/>
                  <w:i w:val="false"/>
                  <w:caps w:val="false"/>
                  <w:smallCaps w:val="false"/>
                  <w:sz w:val="20"/>
                </w:rPr>
                <w:t>USE OF PROCEEDS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S-7</w:t>
            </w:r>
          </w:p>
        </w:tc>
      </w:tr>
      <w:tr>
        <w:trPr/>
        <w:tc>
          <w:tcPr>
            <w:tcW w:w="5615" w:type="dxa"/>
            <w:tcBorders/>
            <w:shd w:fill="FFFFFF" w:val="clear"/>
            <w:vAlign w:val="center"/>
          </w:tcPr>
          <w:p>
            <w:pPr>
              <w:pStyle w:val="TableContents"/>
              <w:bidi w:val="0"/>
              <w:spacing w:before="0" w:after="283"/>
              <w:jc w:val="both"/>
              <w:rPr/>
            </w:pPr>
            <w:hyperlink w:anchor="Sx_006">
              <w:r>
                <w:rPr>
                  <w:rStyle w:val="InternetLink"/>
                  <w:rFonts w:ascii="Times New Roman;Times;Serif" w:hAnsi="Times New Roman;Times;Serif"/>
                  <w:b w:val="false"/>
                  <w:i w:val="false"/>
                  <w:caps w:val="false"/>
                  <w:smallCaps w:val="false"/>
                  <w:sz w:val="20"/>
                </w:rPr>
                <w:t>THE SECURITIES WE MAY OFFER</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S-8</w:t>
            </w:r>
          </w:p>
        </w:tc>
      </w:tr>
      <w:tr>
        <w:trPr/>
        <w:tc>
          <w:tcPr>
            <w:tcW w:w="5615" w:type="dxa"/>
            <w:tcBorders/>
            <w:shd w:fill="CCEEFF" w:val="clear"/>
            <w:vAlign w:val="center"/>
          </w:tcPr>
          <w:p>
            <w:pPr>
              <w:pStyle w:val="TableContents"/>
              <w:bidi w:val="0"/>
              <w:spacing w:before="0" w:after="283"/>
              <w:jc w:val="both"/>
              <w:rPr/>
            </w:pPr>
            <w:hyperlink w:anchor="Sx_007">
              <w:r>
                <w:rPr>
                  <w:rStyle w:val="InternetLink"/>
                  <w:rFonts w:ascii="Times New Roman;Times;Serif" w:hAnsi="Times New Roman;Times;Serif"/>
                  <w:b w:val="false"/>
                  <w:i w:val="false"/>
                  <w:caps w:val="false"/>
                  <w:smallCaps w:val="false"/>
                  <w:sz w:val="20"/>
                </w:rPr>
                <w:t>DESCRIPTION OF CAPITAL STOCK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5615" w:type="dxa"/>
            <w:tcBorders/>
            <w:shd w:fill="FFFFFF" w:val="clear"/>
            <w:vAlign w:val="center"/>
          </w:tcPr>
          <w:p>
            <w:pPr>
              <w:pStyle w:val="TableContents"/>
              <w:bidi w:val="0"/>
              <w:spacing w:before="0" w:after="283"/>
              <w:jc w:val="both"/>
              <w:rPr/>
            </w:pPr>
            <w:hyperlink w:anchor="Sx_008">
              <w:r>
                <w:rPr>
                  <w:rStyle w:val="InternetLink"/>
                  <w:rFonts w:ascii="Times New Roman;Times;Serif" w:hAnsi="Times New Roman;Times;Serif"/>
                  <w:b w:val="false"/>
                  <w:i w:val="false"/>
                  <w:caps w:val="false"/>
                  <w:smallCaps w:val="false"/>
                  <w:sz w:val="20"/>
                </w:rPr>
                <w:t>DESCRIPTION OF WARRANTS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S-12</w:t>
            </w:r>
          </w:p>
        </w:tc>
      </w:tr>
      <w:tr>
        <w:trPr/>
        <w:tc>
          <w:tcPr>
            <w:tcW w:w="5615" w:type="dxa"/>
            <w:tcBorders/>
            <w:shd w:fill="CCEEFF" w:val="clear"/>
            <w:vAlign w:val="center"/>
          </w:tcPr>
          <w:p>
            <w:pPr>
              <w:pStyle w:val="TableContents"/>
              <w:bidi w:val="0"/>
              <w:spacing w:before="0" w:after="283"/>
              <w:jc w:val="both"/>
              <w:rPr/>
            </w:pPr>
            <w:hyperlink w:anchor="Sx_009">
              <w:r>
                <w:rPr>
                  <w:rStyle w:val="InternetLink"/>
                  <w:rFonts w:ascii="Times New Roman;Times;Serif" w:hAnsi="Times New Roman;Times;Serif"/>
                  <w:b w:val="false"/>
                  <w:i w:val="false"/>
                  <w:caps w:val="false"/>
                  <w:smallCaps w:val="false"/>
                  <w:sz w:val="20"/>
                </w:rPr>
                <w:t>DESCRIPTION OF DEBT SECURITIES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5615" w:type="dxa"/>
            <w:tcBorders/>
            <w:shd w:fill="FFFFFF" w:val="clear"/>
            <w:vAlign w:val="center"/>
          </w:tcPr>
          <w:p>
            <w:pPr>
              <w:pStyle w:val="TableContents"/>
              <w:bidi w:val="0"/>
              <w:spacing w:before="0" w:after="283"/>
              <w:jc w:val="both"/>
              <w:rPr/>
            </w:pPr>
            <w:hyperlink w:anchor="Sx_010">
              <w:r>
                <w:rPr>
                  <w:rStyle w:val="InternetLink"/>
                  <w:rFonts w:ascii="Times New Roman;Times;Serif" w:hAnsi="Times New Roman;Times;Serif"/>
                  <w:b w:val="false"/>
                  <w:i w:val="false"/>
                  <w:caps w:val="false"/>
                  <w:smallCaps w:val="false"/>
                  <w:sz w:val="20"/>
                </w:rPr>
                <w:t>DESCRIPTION OF SUBSCRIPTION RIGHTS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S-18</w:t>
            </w:r>
          </w:p>
        </w:tc>
      </w:tr>
      <w:tr>
        <w:trPr/>
        <w:tc>
          <w:tcPr>
            <w:tcW w:w="5615" w:type="dxa"/>
            <w:tcBorders/>
            <w:shd w:fill="CCEEFF" w:val="clear"/>
            <w:vAlign w:val="center"/>
          </w:tcPr>
          <w:p>
            <w:pPr>
              <w:pStyle w:val="TableContents"/>
              <w:bidi w:val="0"/>
              <w:spacing w:before="0" w:after="283"/>
              <w:jc w:val="both"/>
              <w:rPr/>
            </w:pPr>
            <w:hyperlink w:anchor="Sx_011">
              <w:r>
                <w:rPr>
                  <w:rStyle w:val="InternetLink"/>
                  <w:rFonts w:ascii="Times New Roman;Times;Serif" w:hAnsi="Times New Roman;Times;Serif"/>
                  <w:b w:val="false"/>
                  <w:i w:val="false"/>
                  <w:caps w:val="false"/>
                  <w:smallCaps w:val="false"/>
                  <w:sz w:val="20"/>
                </w:rPr>
                <w:t>DESCRIPTION OF UNITS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S-19</w:t>
            </w:r>
          </w:p>
        </w:tc>
      </w:tr>
      <w:tr>
        <w:trPr/>
        <w:tc>
          <w:tcPr>
            <w:tcW w:w="5615" w:type="dxa"/>
            <w:tcBorders/>
            <w:shd w:fill="FFFFFF" w:val="clear"/>
            <w:vAlign w:val="center"/>
          </w:tcPr>
          <w:p>
            <w:pPr>
              <w:pStyle w:val="TableContents"/>
              <w:bidi w:val="0"/>
              <w:spacing w:before="0" w:after="283"/>
              <w:jc w:val="both"/>
              <w:rPr/>
            </w:pPr>
            <w:hyperlink w:anchor="Sx_012">
              <w:r>
                <w:rPr>
                  <w:rStyle w:val="InternetLink"/>
                  <w:rFonts w:ascii="Times New Roman;Times;Serif" w:hAnsi="Times New Roman;Times;Serif"/>
                  <w:b w:val="false"/>
                  <w:i w:val="false"/>
                  <w:caps w:val="false"/>
                  <w:smallCaps w:val="false"/>
                  <w:sz w:val="20"/>
                </w:rPr>
                <w:t>FORM OF SECURITIES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S-20</w:t>
            </w:r>
          </w:p>
        </w:tc>
      </w:tr>
      <w:tr>
        <w:trPr/>
        <w:tc>
          <w:tcPr>
            <w:tcW w:w="5615" w:type="dxa"/>
            <w:tcBorders/>
            <w:shd w:fill="CCEEFF" w:val="clear"/>
            <w:vAlign w:val="center"/>
          </w:tcPr>
          <w:p>
            <w:pPr>
              <w:pStyle w:val="TableContents"/>
              <w:bidi w:val="0"/>
              <w:spacing w:before="0" w:after="283"/>
              <w:jc w:val="both"/>
              <w:rPr/>
            </w:pPr>
            <w:hyperlink w:anchor="Sx_013">
              <w:r>
                <w:rPr>
                  <w:rStyle w:val="InternetLink"/>
                  <w:rFonts w:ascii="Times New Roman;Times;Serif" w:hAnsi="Times New Roman;Times;Serif"/>
                  <w:b w:val="false"/>
                  <w:i w:val="false"/>
                  <w:caps w:val="false"/>
                  <w:smallCaps w:val="false"/>
                  <w:sz w:val="20"/>
                </w:rPr>
                <w:t>PLAN OF DISTRIBUTION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S-21</w:t>
            </w:r>
          </w:p>
        </w:tc>
      </w:tr>
      <w:tr>
        <w:trPr/>
        <w:tc>
          <w:tcPr>
            <w:tcW w:w="5615" w:type="dxa"/>
            <w:tcBorders/>
            <w:shd w:fill="FFFFFF" w:val="clear"/>
            <w:vAlign w:val="center"/>
          </w:tcPr>
          <w:p>
            <w:pPr>
              <w:pStyle w:val="TableContents"/>
              <w:bidi w:val="0"/>
              <w:spacing w:before="0" w:after="283"/>
              <w:jc w:val="both"/>
              <w:rPr/>
            </w:pPr>
            <w:hyperlink w:anchor="Sx_014">
              <w:r>
                <w:rPr>
                  <w:rStyle w:val="InternetLink"/>
                  <w:rFonts w:ascii="Times New Roman;Times;Serif" w:hAnsi="Times New Roman;Times;Serif"/>
                  <w:b w:val="false"/>
                  <w:i w:val="false"/>
                  <w:caps w:val="false"/>
                  <w:smallCaps w:val="false"/>
                  <w:sz w:val="20"/>
                </w:rPr>
                <w:t>LEGAL MATTERS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S-24</w:t>
            </w:r>
          </w:p>
        </w:tc>
      </w:tr>
      <w:tr>
        <w:trPr/>
        <w:tc>
          <w:tcPr>
            <w:tcW w:w="5615" w:type="dxa"/>
            <w:tcBorders/>
            <w:shd w:fill="CCEEFF" w:val="clear"/>
            <w:vAlign w:val="center"/>
          </w:tcPr>
          <w:p>
            <w:pPr>
              <w:pStyle w:val="TableContents"/>
              <w:bidi w:val="0"/>
              <w:spacing w:before="0" w:after="283"/>
              <w:jc w:val="both"/>
              <w:rPr/>
            </w:pPr>
            <w:hyperlink w:anchor="Sx_015">
              <w:r>
                <w:rPr>
                  <w:rStyle w:val="InternetLink"/>
                  <w:rFonts w:ascii="Times New Roman;Times;Serif" w:hAnsi="Times New Roman;Times;Serif"/>
                  <w:b w:val="false"/>
                  <w:i w:val="false"/>
                  <w:caps w:val="false"/>
                  <w:smallCaps w:val="false"/>
                  <w:sz w:val="20"/>
                </w:rPr>
                <w:t>EXPERTS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S-24</w:t>
            </w:r>
          </w:p>
        </w:tc>
      </w:tr>
      <w:tr>
        <w:trPr/>
        <w:tc>
          <w:tcPr>
            <w:tcW w:w="5615" w:type="dxa"/>
            <w:tcBorders/>
            <w:shd w:fill="FFFFFF" w:val="clear"/>
            <w:vAlign w:val="center"/>
          </w:tcPr>
          <w:p>
            <w:pPr>
              <w:pStyle w:val="TableContents"/>
              <w:bidi w:val="0"/>
              <w:spacing w:before="0" w:after="283"/>
              <w:jc w:val="both"/>
              <w:rPr/>
            </w:pPr>
            <w:hyperlink w:anchor="Sx_016">
              <w:r>
                <w:rPr>
                  <w:rStyle w:val="InternetLink"/>
                  <w:rFonts w:ascii="Times New Roman;Times;Serif" w:hAnsi="Times New Roman;Times;Serif"/>
                  <w:b w:val="false"/>
                  <w:i w:val="false"/>
                  <w:caps w:val="false"/>
                  <w:smallCaps w:val="false"/>
                  <w:sz w:val="20"/>
                </w:rPr>
                <w:t>WHERE YOU CAN FIND MORE INFORMATION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S-25</w:t>
            </w:r>
          </w:p>
        </w:tc>
      </w:tr>
      <w:tr>
        <w:trPr/>
        <w:tc>
          <w:tcPr>
            <w:tcW w:w="5615" w:type="dxa"/>
            <w:tcBorders/>
            <w:shd w:fill="CCEEFF" w:val="clear"/>
            <w:vAlign w:val="center"/>
          </w:tcPr>
          <w:p>
            <w:pPr>
              <w:pStyle w:val="TableContents"/>
              <w:bidi w:val="0"/>
              <w:spacing w:before="0" w:after="283"/>
              <w:jc w:val="both"/>
              <w:rPr/>
            </w:pPr>
            <w:hyperlink w:anchor="Sx_017">
              <w:r>
                <w:rPr>
                  <w:rStyle w:val="InternetLink"/>
                  <w:rFonts w:ascii="Times New Roman;Times;Serif" w:hAnsi="Times New Roman;Times;Serif"/>
                  <w:b w:val="false"/>
                  <w:i w:val="false"/>
                  <w:caps w:val="false"/>
                  <w:smallCaps w:val="false"/>
                  <w:sz w:val="20"/>
                </w:rPr>
                <w:t>INCORPORATION OF DOCUMENTS BY REFERENCE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S-26</w:t>
            </w:r>
          </w:p>
        </w:tc>
      </w:tr>
    </w:tbl>
    <w:p>
      <w:pPr>
        <w:pStyle w:val="TextBody"/>
        <w:bidi w:val="0"/>
        <w:spacing w:before="0" w:after="0"/>
        <w:jc w:val="center"/>
        <w:rPr>
          <w:caps/>
        </w:rPr>
      </w:pPr>
      <w:r>
        <w:rPr>
          <w:caps/>
        </w:rPr>
        <w:t> </w:t>
      </w:r>
    </w:p>
    <w:tbl>
      <w:tblPr>
        <w:tblW w:w="6040" w:type="dxa"/>
        <w:jc w:val="left"/>
        <w:tblInd w:w="0" w:type="dxa"/>
        <w:tblLayout w:type="fixed"/>
        <w:tblCellMar>
          <w:top w:w="0" w:type="dxa"/>
          <w:left w:w="0" w:type="dxa"/>
          <w:bottom w:w="0" w:type="dxa"/>
          <w:right w:w="0" w:type="dxa"/>
        </w:tblCellMar>
      </w:tblPr>
      <w:tblGrid>
        <w:gridCol w:w="5615"/>
        <w:gridCol w:w="425"/>
      </w:tblGrid>
      <w:tr>
        <w:trPr/>
        <w:tc>
          <w:tcPr>
            <w:tcW w:w="561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5615" w:type="dxa"/>
            <w:tcBorders/>
            <w:shd w:fill="CCEEFF" w:val="clear"/>
            <w:vAlign w:val="center"/>
          </w:tcPr>
          <w:p>
            <w:pPr>
              <w:pStyle w:val="TableContents"/>
              <w:bidi w:val="0"/>
              <w:spacing w:before="0" w:after="283"/>
              <w:jc w:val="left"/>
              <w:rPr/>
            </w:pPr>
            <w:hyperlink w:anchor="px_001">
              <w:r>
                <w:rPr>
                  <w:rStyle w:val="InternetLink"/>
                  <w:rFonts w:ascii="Times New Roman;Times;Serif" w:hAnsi="Times New Roman;Times;Serif"/>
                  <w:b w:val="false"/>
                  <w:i w:val="false"/>
                  <w:caps w:val="false"/>
                  <w:smallCaps w:val="false"/>
                  <w:sz w:val="20"/>
                </w:rPr>
                <w:t>ABOUT THIS PROSPECTUS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615" w:type="dxa"/>
            <w:tcBorders/>
            <w:shd w:fill="FFFFFF" w:val="clear"/>
            <w:vAlign w:val="center"/>
          </w:tcPr>
          <w:p>
            <w:pPr>
              <w:pStyle w:val="TableContents"/>
              <w:bidi w:val="0"/>
              <w:spacing w:before="0" w:after="283"/>
              <w:jc w:val="left"/>
              <w:rPr/>
            </w:pPr>
            <w:hyperlink w:anchor="px_002">
              <w:r>
                <w:rPr>
                  <w:rStyle w:val="InternetLink"/>
                  <w:rFonts w:ascii="Times New Roman;Times;Serif" w:hAnsi="Times New Roman;Times;Serif"/>
                  <w:b w:val="false"/>
                  <w:i w:val="false"/>
                  <w:caps w:val="false"/>
                  <w:smallCaps w:val="false"/>
                  <w:sz w:val="20"/>
                </w:rPr>
                <w:t>DISCLOSURE REGARDING FORWARD-LOOKING STATEMENTS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615" w:type="dxa"/>
            <w:tcBorders/>
            <w:shd w:fill="CCEEFF" w:val="clear"/>
            <w:vAlign w:val="center"/>
          </w:tcPr>
          <w:p>
            <w:pPr>
              <w:pStyle w:val="TableContents"/>
              <w:bidi w:val="0"/>
              <w:spacing w:before="0" w:after="283"/>
              <w:jc w:val="left"/>
              <w:rPr/>
            </w:pPr>
            <w:hyperlink w:anchor="px_003">
              <w:r>
                <w:rPr>
                  <w:rStyle w:val="InternetLink"/>
                  <w:rFonts w:ascii="Times New Roman;Times;Serif" w:hAnsi="Times New Roman;Times;Serif"/>
                  <w:b w:val="false"/>
                  <w:i w:val="false"/>
                  <w:caps w:val="false"/>
                  <w:smallCaps w:val="false"/>
                  <w:sz w:val="20"/>
                </w:rPr>
                <w:t>PROSPECTUS SUMMARY</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615" w:type="dxa"/>
            <w:tcBorders/>
            <w:shd w:fill="FFFFFF" w:val="clear"/>
            <w:vAlign w:val="center"/>
          </w:tcPr>
          <w:p>
            <w:pPr>
              <w:pStyle w:val="TableContents"/>
              <w:bidi w:val="0"/>
              <w:spacing w:before="0" w:after="283"/>
              <w:jc w:val="left"/>
              <w:rPr/>
            </w:pPr>
            <w:hyperlink w:anchor="px_004">
              <w:r>
                <w:rPr>
                  <w:rStyle w:val="InternetLink"/>
                  <w:rFonts w:ascii="Times New Roman;Times;Serif" w:hAnsi="Times New Roman;Times;Serif"/>
                  <w:b w:val="false"/>
                  <w:i w:val="false"/>
                  <w:caps w:val="false"/>
                  <w:smallCaps w:val="false"/>
                  <w:sz w:val="20"/>
                </w:rPr>
                <w:t>THE OFFERING</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615" w:type="dxa"/>
            <w:tcBorders/>
            <w:shd w:fill="CCEEFF" w:val="clear"/>
            <w:vAlign w:val="center"/>
          </w:tcPr>
          <w:p>
            <w:pPr>
              <w:pStyle w:val="TableContents"/>
              <w:bidi w:val="0"/>
              <w:spacing w:before="0" w:after="283"/>
              <w:jc w:val="left"/>
              <w:rPr/>
            </w:pPr>
            <w:hyperlink w:anchor="px_005">
              <w:r>
                <w:rPr>
                  <w:rStyle w:val="InternetLink"/>
                  <w:rFonts w:ascii="Times New Roman;Times;Serif" w:hAnsi="Times New Roman;Times;Serif"/>
                  <w:b w:val="false"/>
                  <w:i w:val="false"/>
                  <w:caps w:val="false"/>
                  <w:smallCaps w:val="false"/>
                  <w:sz w:val="20"/>
                </w:rPr>
                <w:t>RISK FACTORS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5615" w:type="dxa"/>
            <w:tcBorders/>
            <w:shd w:fill="FFFFFF" w:val="clear"/>
            <w:vAlign w:val="center"/>
          </w:tcPr>
          <w:p>
            <w:pPr>
              <w:pStyle w:val="TableContents"/>
              <w:bidi w:val="0"/>
              <w:spacing w:before="0" w:after="283"/>
              <w:jc w:val="left"/>
              <w:rPr/>
            </w:pPr>
            <w:hyperlink w:anchor="px_006">
              <w:r>
                <w:rPr>
                  <w:rStyle w:val="InternetLink"/>
                  <w:rFonts w:ascii="Times New Roman;Times;Serif" w:hAnsi="Times New Roman;Times;Serif"/>
                  <w:b w:val="false"/>
                  <w:i w:val="false"/>
                  <w:caps w:val="false"/>
                  <w:smallCaps w:val="false"/>
                  <w:sz w:val="20"/>
                </w:rPr>
                <w:t>USE OF PROCEEDS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615" w:type="dxa"/>
            <w:tcBorders/>
            <w:shd w:fill="CCEEFF" w:val="clear"/>
            <w:vAlign w:val="center"/>
          </w:tcPr>
          <w:p>
            <w:pPr>
              <w:pStyle w:val="TableContents"/>
              <w:bidi w:val="0"/>
              <w:spacing w:before="0" w:after="283"/>
              <w:jc w:val="left"/>
              <w:rPr/>
            </w:pPr>
            <w:hyperlink w:anchor="px_007">
              <w:r>
                <w:rPr>
                  <w:rStyle w:val="InternetLink"/>
                  <w:rFonts w:ascii="Times New Roman;Times;Serif" w:hAnsi="Times New Roman;Times;Serif"/>
                  <w:b w:val="false"/>
                  <w:i w:val="false"/>
                  <w:caps w:val="false"/>
                  <w:smallCaps w:val="false"/>
                  <w:sz w:val="20"/>
                </w:rPr>
                <w:t>DILUTION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5615" w:type="dxa"/>
            <w:tcBorders/>
            <w:shd w:fill="FFFFFF" w:val="clear"/>
            <w:vAlign w:val="center"/>
          </w:tcPr>
          <w:p>
            <w:pPr>
              <w:pStyle w:val="TableContents"/>
              <w:bidi w:val="0"/>
              <w:spacing w:before="0" w:after="283"/>
              <w:jc w:val="left"/>
              <w:rPr/>
            </w:pPr>
            <w:hyperlink w:anchor="px_008">
              <w:r>
                <w:rPr>
                  <w:rStyle w:val="InternetLink"/>
                  <w:rFonts w:ascii="Times New Roman;Times;Serif" w:hAnsi="Times New Roman;Times;Serif"/>
                  <w:b w:val="false"/>
                  <w:i w:val="false"/>
                  <w:caps w:val="false"/>
                  <w:smallCaps w:val="false"/>
                  <w:sz w:val="20"/>
                </w:rPr>
                <w:t>DIVIDEND POLICY</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5615" w:type="dxa"/>
            <w:tcBorders/>
            <w:shd w:fill="CCEEFF" w:val="clear"/>
            <w:vAlign w:val="center"/>
          </w:tcPr>
          <w:p>
            <w:pPr>
              <w:pStyle w:val="TableContents"/>
              <w:bidi w:val="0"/>
              <w:spacing w:before="0" w:after="283"/>
              <w:jc w:val="left"/>
              <w:rPr/>
            </w:pPr>
            <w:hyperlink w:anchor="px_009">
              <w:r>
                <w:rPr>
                  <w:rStyle w:val="InternetLink"/>
                  <w:rFonts w:ascii="Times New Roman;Times;Serif" w:hAnsi="Times New Roman;Times;Serif"/>
                  <w:b w:val="false"/>
                  <w:i w:val="false"/>
                  <w:caps w:val="false"/>
                  <w:smallCaps w:val="false"/>
                  <w:sz w:val="20"/>
                </w:rPr>
                <w:t>PLAN OF DISTRIBUTION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5615" w:type="dxa"/>
            <w:tcBorders/>
            <w:shd w:fill="FFFFFF" w:val="clear"/>
            <w:vAlign w:val="center"/>
          </w:tcPr>
          <w:p>
            <w:pPr>
              <w:pStyle w:val="TableContents"/>
              <w:bidi w:val="0"/>
              <w:spacing w:before="0" w:after="283"/>
              <w:jc w:val="left"/>
              <w:rPr/>
            </w:pPr>
            <w:hyperlink w:anchor="px_010">
              <w:r>
                <w:rPr>
                  <w:rStyle w:val="InternetLink"/>
                  <w:rFonts w:ascii="Times New Roman;Times;Serif" w:hAnsi="Times New Roman;Times;Serif"/>
                  <w:b w:val="false"/>
                  <w:i w:val="false"/>
                  <w:caps w:val="false"/>
                  <w:smallCaps w:val="false"/>
                  <w:sz w:val="20"/>
                </w:rPr>
                <w:t>LEGAL MATTERS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5615" w:type="dxa"/>
            <w:tcBorders/>
            <w:shd w:fill="CCEEFF" w:val="clear"/>
            <w:vAlign w:val="center"/>
          </w:tcPr>
          <w:p>
            <w:pPr>
              <w:pStyle w:val="TableContents"/>
              <w:bidi w:val="0"/>
              <w:spacing w:before="0" w:after="283"/>
              <w:jc w:val="left"/>
              <w:rPr/>
            </w:pPr>
            <w:hyperlink w:anchor="px_011">
              <w:r>
                <w:rPr>
                  <w:rStyle w:val="InternetLink"/>
                  <w:rFonts w:ascii="Times New Roman;Times;Serif" w:hAnsi="Times New Roman;Times;Serif"/>
                  <w:b w:val="false"/>
                  <w:i w:val="false"/>
                  <w:caps w:val="false"/>
                  <w:smallCaps w:val="false"/>
                  <w:sz w:val="20"/>
                </w:rPr>
                <w:t>EXPERTS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5615" w:type="dxa"/>
            <w:tcBorders/>
            <w:shd w:fill="FFFFFF" w:val="clear"/>
            <w:vAlign w:val="center"/>
          </w:tcPr>
          <w:p>
            <w:pPr>
              <w:pStyle w:val="TableContents"/>
              <w:bidi w:val="0"/>
              <w:spacing w:before="0" w:after="283"/>
              <w:jc w:val="left"/>
              <w:rPr/>
            </w:pPr>
            <w:hyperlink w:anchor="px_012">
              <w:r>
                <w:rPr>
                  <w:rStyle w:val="InternetLink"/>
                  <w:rFonts w:ascii="Times New Roman;Times;Serif" w:hAnsi="Times New Roman;Times;Serif"/>
                  <w:b w:val="false"/>
                  <w:i w:val="false"/>
                  <w:caps w:val="false"/>
                  <w:smallCaps w:val="false"/>
                  <w:sz w:val="20"/>
                </w:rPr>
                <w:t>WHERE YOU CAN FIND MORE INFORMATION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5615" w:type="dxa"/>
            <w:tcBorders/>
            <w:shd w:fill="CCEEFF" w:val="clear"/>
            <w:vAlign w:val="center"/>
          </w:tcPr>
          <w:p>
            <w:pPr>
              <w:pStyle w:val="TableContents"/>
              <w:bidi w:val="0"/>
              <w:spacing w:before="0" w:after="283"/>
              <w:jc w:val="left"/>
              <w:rPr/>
            </w:pPr>
            <w:hyperlink w:anchor="px_013">
              <w:r>
                <w:rPr>
                  <w:rStyle w:val="InternetLink"/>
                  <w:rFonts w:ascii="Times New Roman;Times;Serif" w:hAnsi="Times New Roman;Times;Serif"/>
                  <w:b w:val="false"/>
                  <w:i w:val="false"/>
                  <w:caps w:val="false"/>
                  <w:smallCaps w:val="false"/>
                  <w:sz w:val="20"/>
                </w:rPr>
                <w:t>INCORPORATION OF DOCUMENTS BY REFERENCE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Sx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shelf registration statement that Aptera Motors Corp. (the “Company,” “Aptera,” “we,” “us” or “our”) filed with the SEC using a “shelf” registration process. Under this shelf registration process, we may offer and sell any combination of the securities described in this prospectus in one or more offerings from time to time having an aggregate offering price of $250,000,000. This prospectus provides you with a general description of the securities we may offer. We may also authorize one or more free writing prospectuses to be provided to you that may contain material information relating to these offerings. Each time we offer securities, we will provide you with a prospectus supplement that describes the specific amounts, prices and terms of the securities we offer. The prospectus supplement and any related free writing prospectus that we may authorize to be provided to you may also add, update or change information contained in this prospectus or in any documents that we have incorporated by reference into this prospectus. To the extent that any statement that we make in a prospectus supplement is inconsistent with statements made in this prospectus, the statements made in this prospectus will be deemed modified or superseded by those made in a prospectus supplement. You should read carefully both this prospectus and any prospectus supplement together with additional information described below under the captions “Where You Can Find More Information” and “Incorporation of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the information provided in the registration statement we filed with the SEC. You should read both this prospectus, including the section titled “Risk Factors,” and the accompanying prospectus supplement, together with the additional information described under the captions “Where You Can Find More Information” and “Incorporation of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any prospectus supplement and any related free writing prospectus that we may authorize to be provided to you. We have not authorized any other person to provide you with different information. If anyone provides you with different or inconsistent information, you should not rely on it. This prospectus is not an offer to sell securities, and it is not soliciting an offer to buy securities in any jurisdiction where the offer or sale is not permitted. You should assume that the information appearing in this prospectus, any prospectus supplement or any related free writing prospectus, as well as information we have previously filed with the SEC and incorporated by reference, is accurate as of the date on the front of those documents only.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Sx_002"/>
      <w:bookmarkEnd w:id="3"/>
      <w:r>
        <w:rPr>
          <w:rFonts w:ascii="Times New Roman;Times;Serif" w:hAnsi="Times New Roman;Times;Serif"/>
          <w:b/>
          <w:i w:val="false"/>
          <w:caps/>
          <w:sz w:val="20"/>
        </w:rPr>
        <w:t>DISCLOSURE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historical information, this prospectus and the documents incorporated herein by reference contain forward-looking statements within the meaning of Section 27A of the Securities Act of 1933, as amended, (the “Securities Act”) and the Securities Exchange Act of 1934, as amended (“Exchange Act”).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performance, including our expectations regarding our revenue, cost of revenue, gross profit, operating expenses including changes in research and development, sales and marketing, and general and administrative expenses (including any components of the foregoing), and our ability to maintain future profitability;</w:t>
            </w:r>
          </w:p>
        </w:tc>
      </w:tr>
    </w:tbl>
    <w:p>
      <w:pPr>
        <w:pStyle w:val="TextBody"/>
        <w:bidi w:val="0"/>
        <w:spacing w:before="0" w:after="0"/>
        <w:ind w:left="720" w:right="0" w:hanging="360"/>
        <w:jc w:val="both"/>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17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raise capital to fund our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170"/>
        <w:gridCol w:w="3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w:t>
            </w:r>
          </w:p>
        </w:tc>
      </w:tr>
    </w:tbl>
    <w:p>
      <w:pPr>
        <w:pStyle w:val="TextBody"/>
        <w:bidi w:val="0"/>
        <w:spacing w:before="0" w:after="0"/>
        <w:ind w:left="720" w:right="0" w:hanging="36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plan and our ability to effectively manage our growth;</w:t>
            </w:r>
          </w:p>
        </w:tc>
      </w:tr>
    </w:tbl>
    <w:p>
      <w:pPr>
        <w:pStyle w:val="TextBody"/>
        <w:bidi w:val="0"/>
        <w:spacing w:before="0" w:after="0"/>
        <w:ind w:left="720" w:right="0" w:hanging="36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with well-established competitors and new entrants;</w:t>
            </w:r>
          </w:p>
        </w:tc>
      </w:tr>
    </w:tbl>
    <w:p>
      <w:pPr>
        <w:pStyle w:val="TextBody"/>
        <w:bidi w:val="0"/>
        <w:spacing w:before="0" w:after="0"/>
        <w:ind w:left="720" w:right="0" w:hanging="36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navigate the regulatory environment applicable to our operations and industry;</w:t>
            </w:r>
          </w:p>
        </w:tc>
      </w:tr>
    </w:tbl>
    <w:p>
      <w:pPr>
        <w:pStyle w:val="TextBody"/>
        <w:bidi w:val="0"/>
        <w:spacing w:before="0" w:after="0"/>
        <w:ind w:left="720" w:right="0" w:hanging="360"/>
        <w:jc w:val="both"/>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begin manufacturing our vehicles at scale;</w:t>
            </w:r>
          </w:p>
        </w:tc>
      </w:tr>
    </w:tbl>
    <w:p>
      <w:pPr>
        <w:pStyle w:val="TextBody"/>
        <w:bidi w:val="0"/>
        <w:spacing w:before="0" w:after="0"/>
        <w:ind w:left="720" w:right="0" w:hanging="36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1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qualified employees and key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strategy;</w:t>
            </w:r>
          </w:p>
        </w:tc>
      </w:tr>
    </w:tbl>
    <w:p>
      <w:pPr>
        <w:pStyle w:val="TextBody"/>
        <w:bidi w:val="0"/>
        <w:spacing w:before="0" w:after="0"/>
        <w:ind w:left="720" w:right="0" w:hanging="360"/>
        <w:jc w:val="both"/>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beliefs and objectives for future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17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protect, and enhance our brand and intellectual property;</w:t>
            </w:r>
          </w:p>
        </w:tc>
      </w:tr>
    </w:tbl>
    <w:p>
      <w:pPr>
        <w:pStyle w:val="TextBody"/>
        <w:bidi w:val="0"/>
        <w:spacing w:before="0" w:after="0"/>
        <w:ind w:left="720" w:right="0" w:hanging="360"/>
        <w:jc w:val="both"/>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17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stay in compliance with laws and regulations that currently apply or become applicable to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and industry trends, projected growth, or trend analysis;</w:t>
            </w:r>
          </w:p>
        </w:tc>
      </w:tr>
    </w:tbl>
    <w:p>
      <w:pPr>
        <w:pStyle w:val="TextBody"/>
        <w:bidi w:val="0"/>
        <w:spacing w:before="0" w:after="0"/>
        <w:ind w:left="720" w:right="0" w:hanging="360"/>
        <w:jc w:val="both"/>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17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expenses associated with being a public company;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related to the use of any net proceeds from offerings of our securities under this prospectus and any prospectus supplement;</w:t>
            </w:r>
          </w:p>
        </w:tc>
      </w:tr>
    </w:tbl>
    <w:p>
      <w:pPr>
        <w:pStyle w:val="TextBody"/>
        <w:bidi w:val="0"/>
        <w:spacing w:before="0" w:after="0"/>
        <w:ind w:left="720" w:right="0" w:hanging="360"/>
        <w:jc w:val="both"/>
        <w:rPr>
          <w:caps w:val="false"/>
          <w:smallCaps w:val="false"/>
        </w:rPr>
      </w:pPr>
      <w:r>
        <w:rPr>
          <w:caps w:val="false"/>
          <w:smallCaps w:val="false"/>
        </w:rPr>
        <w:t> </w:t>
      </w:r>
    </w:p>
    <w:tbl>
      <w:tblPr>
        <w:tblW w:w="5718" w:type="dxa"/>
        <w:jc w:val="left"/>
        <w:tblInd w:w="0" w:type="dxa"/>
        <w:tblLayout w:type="fixed"/>
        <w:tblCellMar>
          <w:top w:w="0" w:type="dxa"/>
          <w:left w:w="0" w:type="dxa"/>
          <w:bottom w:w="0" w:type="dxa"/>
          <w:right w:w="0" w:type="dxa"/>
        </w:tblCellMar>
      </w:tblPr>
      <w:tblGrid>
        <w:gridCol w:w="38"/>
        <w:gridCol w:w="17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of the trading price of our Class B common stock;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factors listed under the heading “Risk Factors” in our most recent Annual Report on Form 10-K, our most recent Quarterly Reports on Form 10-Q, and other reports that we file with the SEC from time to time.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accompanying prospectus supplement and the documents incorporated by reference herein and therein, of which this prospectus is part, completely and with the understanding that our actual future results may be materially different from what we expect. You should assume that the information appearing in this prospectus and any accompanying prospectus supplement is accurate as of the date on the front cover of this prospectus or such prospectus supplement only. Because the risk factors referred to above, as well as the risk factors referred to on page S-6 of this prospectus and incorporated herein by reference,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and we undertake no obligation to update any forward-looking statement to reflect events or circumstances after the date on which the statement is made or to reflect the occurrence of unanticipated events, except as required by law.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We qualify all of the information presented in this prospectus and any accompanying prospectus supplement, and particularly our forward-looking statements, by these cautionary statements.</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4" w:name="Sx_003"/>
      <w:bookmarkEnd w:id="4"/>
      <w:r>
        <w:rPr>
          <w:rFonts w:ascii="Times New Roman;Times;Serif" w:hAnsi="Times New Roman;Times;Serif"/>
          <w:b/>
          <w:i w:val="false"/>
          <w:caps/>
          <w:sz w:val="20"/>
          <w:bdr w:val="single" w:sz="8" w:space="1" w:color="000000"/>
        </w:rPr>
        <w:t>PROSPECTUS SUMMARY</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This summary highlights information contained elsewhere in this prospectus and the documents incorporated by reference herein. This summary does not contain all of the information that you should consider before deciding to invest in our securities. You should read this entire prospectus carefully, including the section entitled “Risk Factors” beginning on page S-6, our consolidated financial statements and the related notes and the other information incorporated by reference into this prospectus before making an investment decision.</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Company 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Delaware public benefit corporation and development stage company focused on the development and commercialization of solar electric vehicles (SEVs). Our flagship vehicle, the Aptera, is a three-wheeled, two-passenger vehicle designed for efficiency and sustainability. We believe Aptera’s unique design, incorporating solar charging capabilities and aerodynamic efficiency, will offer a compelling alternative to conventional vehicles. We completed a direct listing of our Class B common stock on Nasdaq in October 2025.</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Our Business Model</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intend to generate revenue primarily through the sale of our SEVs. Our current focus is on completing the development, validation, and commencing production of the Aptera. We have not commenced production or generated any revenue from the sale of our products. During the past three years, we engaged with strategic partners to supply validated production parts, and we are currently executing our validation vehicle program. We plan to offer various Aptera models with different features and price points. We may also explore other revenue streams in the future, such as providing charging infrastructure or developing related technologies.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The Aptera</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Aptera is designed to be a highly efficient vehicle, minimizing energy consumption through its aerodynamic design and lightweight construction. Its integrated solar panels are intended to supplement battery charging, potentially allowing drivers to travel significant distances using only solar power. The Aptera is designed to be a practical and sustainable transportation solution for daily commuting and other driving needs.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Competitive Advantages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believe the Aptera offers several competitive advantages, including: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038" w:type="dxa"/>
        <w:jc w:val="left"/>
        <w:tblInd w:w="0" w:type="dxa"/>
        <w:tblLayout w:type="fixed"/>
        <w:tblCellMar>
          <w:top w:w="0" w:type="dxa"/>
          <w:left w:w="0" w:type="dxa"/>
          <w:bottom w:w="0" w:type="dxa"/>
          <w:right w:w="0" w:type="dxa"/>
        </w:tblCellMar>
      </w:tblPr>
      <w:tblGrid>
        <w:gridCol w:w="38"/>
        <w:gridCol w:w="170"/>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High Efficiency:</w:t>
            </w:r>
            <w:r>
              <w:rPr>
                <w:rFonts w:ascii="Times New Roman;Times;Serif" w:hAnsi="Times New Roman;Times;Serif"/>
                <w:b w:val="false"/>
                <w:i w:val="false"/>
                <w:caps w:val="false"/>
                <w:smallCaps w:val="false"/>
                <w:sz w:val="20"/>
              </w:rPr>
              <w:t xml:space="preserve"> The Aptera’s aerodynamic design and lightweight construction contribute to its high energy efficiency.</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Solar Charging:</w:t>
            </w:r>
            <w:r>
              <w:rPr>
                <w:rFonts w:ascii="Times New Roman;Times;Serif" w:hAnsi="Times New Roman;Times;Serif"/>
                <w:b w:val="false"/>
                <w:i w:val="false"/>
                <w:caps w:val="false"/>
                <w:smallCaps w:val="false"/>
                <w:sz w:val="20"/>
              </w:rPr>
              <w:t xml:space="preserve"> Integrated solar panels provide supplemental charging, potentially reducing reliance on traditional charging infrastructure.</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8868" w:type="dxa"/>
        <w:jc w:val="left"/>
        <w:tblInd w:w="0" w:type="dxa"/>
        <w:tblLayout w:type="fixed"/>
        <w:tblCellMar>
          <w:top w:w="0" w:type="dxa"/>
          <w:left w:w="0" w:type="dxa"/>
          <w:bottom w:w="0" w:type="dxa"/>
          <w:right w:w="0" w:type="dxa"/>
        </w:tblCellMar>
      </w:tblPr>
      <w:tblGrid>
        <w:gridCol w:w="38"/>
        <w:gridCol w:w="17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Unique Design:</w:t>
            </w:r>
            <w:r>
              <w:rPr>
                <w:rFonts w:ascii="Times New Roman;Times;Serif" w:hAnsi="Times New Roman;Times;Serif"/>
                <w:b w:val="false"/>
                <w:i w:val="false"/>
                <w:caps w:val="false"/>
                <w:smallCaps w:val="false"/>
                <w:sz w:val="20"/>
              </w:rPr>
              <w:t xml:space="preserve"> The Aptera’s distinctive three-wheeled design differentiates it from conventional vehicles.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Sustainability:</w:t>
            </w:r>
            <w:r>
              <w:rPr>
                <w:rFonts w:ascii="Times New Roman;Times;Serif" w:hAnsi="Times New Roman;Times;Serif"/>
                <w:b w:val="false"/>
                <w:i w:val="false"/>
                <w:caps w:val="false"/>
                <w:smallCaps w:val="false"/>
                <w:sz w:val="20"/>
              </w:rPr>
              <w:t xml:space="preserve"> The Aptera’s electric powertrain and solar charging capabilities contribute to a reduced environmental footprint.</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Challenges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face numerous challenges in developing and commercializing the Aptera, including: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Production:</w:t>
            </w:r>
            <w:r>
              <w:rPr>
                <w:rFonts w:ascii="Times New Roman;Times;Serif" w:hAnsi="Times New Roman;Times;Serif"/>
                <w:b w:val="false"/>
                <w:i w:val="false"/>
                <w:caps w:val="false"/>
                <w:smallCaps w:val="false"/>
                <w:sz w:val="20"/>
              </w:rPr>
              <w:t xml:space="preserve"> We have not yet commenced commercial production of the Aptera, and face risks associated with scaling production.</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Competition:</w:t>
            </w:r>
            <w:r>
              <w:rPr>
                <w:rFonts w:ascii="Times New Roman;Times;Serif" w:hAnsi="Times New Roman;Times;Serif"/>
                <w:b w:val="false"/>
                <w:i w:val="false"/>
                <w:caps w:val="false"/>
                <w:smallCaps w:val="false"/>
                <w:sz w:val="20"/>
              </w:rPr>
              <w:t xml:space="preserve"> The passenger vehicle industry is highly competitive, and we face competition from established automakers and other electric vehicle manufacturers.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Technology:</w:t>
            </w:r>
            <w:r>
              <w:rPr>
                <w:rFonts w:ascii="Times New Roman;Times;Serif" w:hAnsi="Times New Roman;Times;Serif"/>
                <w:b w:val="false"/>
                <w:i w:val="false"/>
                <w:caps w:val="false"/>
                <w:smallCaps w:val="false"/>
                <w:sz w:val="20"/>
              </w:rPr>
              <w:t xml:space="preserve"> The development of advanced technologies, such as solar charging and battery systems, involves technical risks.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9543" w:type="dxa"/>
        <w:jc w:val="left"/>
        <w:tblInd w:w="0" w:type="dxa"/>
        <w:tblLayout w:type="fixed"/>
        <w:tblCellMar>
          <w:top w:w="0" w:type="dxa"/>
          <w:left w:w="0" w:type="dxa"/>
          <w:bottom w:w="0" w:type="dxa"/>
          <w:right w:w="0" w:type="dxa"/>
        </w:tblCellMar>
      </w:tblPr>
      <w:tblGrid>
        <w:gridCol w:w="38"/>
        <w:gridCol w:w="17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Funding:</w:t>
            </w:r>
            <w:r>
              <w:rPr>
                <w:rFonts w:ascii="Times New Roman;Times;Serif" w:hAnsi="Times New Roman;Times;Serif"/>
                <w:b w:val="false"/>
                <w:i w:val="false"/>
                <w:caps w:val="false"/>
                <w:smallCaps w:val="false"/>
                <w:sz w:val="20"/>
              </w:rPr>
              <w:t xml:space="preserve"> We will require significant additional capital to fund our operations and achieve our business objectives.</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Recent Developments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achieved several key operational and regulatory milestones, including the following: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Validation Vehicles:</w:t>
            </w:r>
            <w:r>
              <w:rPr>
                <w:rFonts w:ascii="Times New Roman;Times;Serif" w:hAnsi="Times New Roman;Times;Serif"/>
                <w:b w:val="false"/>
                <w:i w:val="false"/>
                <w:caps w:val="false"/>
                <w:smallCaps w:val="false"/>
                <w:sz w:val="20"/>
              </w:rPr>
              <w:t xml:space="preserve"> In May 2026, we drove the first five validation vehicles off our newly established low-volume validation assembly line at our Carlsbad facility.</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Solar Performance:</w:t>
            </w:r>
            <w:r>
              <w:rPr>
                <w:rFonts w:ascii="Times New Roman;Times;Serif" w:hAnsi="Times New Roman;Times;Serif"/>
                <w:b w:val="false"/>
                <w:i w:val="false"/>
                <w:caps w:val="false"/>
                <w:smallCaps w:val="false"/>
                <w:sz w:val="20"/>
              </w:rPr>
              <w:t xml:space="preserve"> In June 2026, during real-world validation testing, our solar electric vehicle achieved more than 4 kilowatt-hours of daily solar generation, exceeding our internal solar charging targets.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EPA Certification:</w:t>
            </w:r>
            <w:r>
              <w:rPr>
                <w:rFonts w:ascii="Times New Roman;Times;Serif" w:hAnsi="Times New Roman;Times;Serif"/>
                <w:b w:val="false"/>
                <w:i w:val="false"/>
                <w:caps w:val="false"/>
                <w:smallCaps w:val="false"/>
                <w:sz w:val="20"/>
              </w:rPr>
              <w:t xml:space="preserve"> On June 18, 2026, we received a Certificate of Conformity from the U.S. Environmental Protection Agency for the 2026 Aptera Launch Edition, one of the two primary federal certifications required before a vehicle can be legally sold in the United States. The remaining federal requirement before we can begin customer deliveries is compliance with the Federal Motor Vehicle Safety Standards using vehicles built on our low-volume validation assembly line.</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Capital Raises: </w:t>
            </w:r>
            <w:r>
              <w:rPr>
                <w:rFonts w:ascii="Times New Roman;Times;Serif" w:hAnsi="Times New Roman;Times;Serif"/>
                <w:b w:val="false"/>
                <w:i w:val="false"/>
                <w:caps w:val="false"/>
                <w:smallCaps w:val="false"/>
                <w:sz w:val="20"/>
              </w:rPr>
              <w:t>We have pursued multiple capital-raising strategies over the past year. In October 2025, we established an equity line of credit, which we drew on between mid-November 2025 and June 2026 to raise approximately $4.3 million. During the first quarter of 2026, we raised roughly $17.1 million in gross proceeds through a $9.0 million follow-on public offering in January 2026 and $8.1 million from warrant exercises, including a March 2026 warrant inducement transaction. On July 13, 2026, we closed another warrant inducement transaction, generating approximately $6.0 million in gross cash proceeds.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Launch Strategic Partnership</w:t>
            </w:r>
            <w:r>
              <w:rPr>
                <w:rFonts w:ascii="Times New Roman;Times;Serif" w:hAnsi="Times New Roman;Times;Serif"/>
                <w:b w:val="false"/>
                <w:i w:val="false"/>
                <w:caps w:val="false"/>
                <w:smallCaps w:val="false"/>
                <w:sz w:val="20"/>
              </w:rPr>
              <w:t>: On August 14, 2026, we entered into a Strategic Partnership Agreement with Shanghai Launch Automotive Technology Co., Ltd. (“Launch”) for manufacturing and contract engineering support, as described in work orders agreed upon by the parties from time to time. In consideration of Launch’s services, we agreed to pay Launch up to RMB 300,000,000, consisting of (i) two-thirds of each approved work order invoice payable in cash, up to RMB 200,000,000 in the aggregate, and (ii) one-third of each approved work order invoice payable through the issuance of warrants to purchase shares of our Class B common stock, up to RMB 100,000,000 in the aggregate. On the effective date of the agreement, we issued to Launch 3,369,629 warrants worth RMB 50,000,000, which are not exercisable upon issuance and become exercisable only as and to the extent they are credited against invoices approved by us.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Revised Capital Plan:</w:t>
            </w:r>
            <w:r>
              <w:rPr>
                <w:sz w:val="20"/>
              </w:rPr>
              <w:t xml:space="preserve"> On October 1, 2026, we announced revised capital requirements, estimating approximately $25 million to reach start of production (down from $40 to $45 million previously estimated) and approximately $115 million for our full plan through high-volume production (down from $180 to $205 million previously estimated). These reductions primarily reflect anticipated benefits of our strategic partnership with Launch, including design-for-manufacturing refinements, expected access to Launch’s international supplier network, and a rebuilt bill of materials. We plan to begin building our first 40 production vehicles by the end of 2026 and to begin customer deliveries in early 2027, subject to timely financing.</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Aptera Motors Corp. was formed on March 4, 2019, under the laws of the state of Delaware, and is a public benefit corporation in Delaware. Our headquarters are located in Carlsbad, California. Our website address is www.aptera.us. The information contained on, or that can be accessed through, our website is not incorporated by reference into, and is not a part of, this prospectus. Investors should not rely on any such information in deciding whether to purchase our securities.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Capital Structure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two classes of authorized common stock - Class A common stock and Class B common stock. The rights of the holders of Class A common stock and Class B common stock are identical, except that our Class B common stock is non-voting and is not entitled to any votes on any matter that is submitted to a vote of our stockholders, except as required by Delaware law. Each share of Class A common stock is entitled to one vote and is convertible at any time into one share of Class B common stock. The Class B common stock has no voting rights, except as required by Delaware General Corporation Law (“DGCL”). However, upon and following the Final Conversion Date, defined as the date that no shares of Class A common stock remain outstanding, holders of Class B common stock will be entitled to one vote per share. 20,000,000 shares of Preferred Stock may be issued from time to time in one or more series by a resolution of the Board of Directors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series. See “</w:t>
      </w:r>
      <w:r>
        <w:rPr>
          <w:rFonts w:ascii="Times New Roman;Times;Serif" w:hAnsi="Times New Roman;Times;Serif"/>
          <w:b w:val="false"/>
          <w:i/>
          <w:caps w:val="false"/>
          <w:smallCaps w:val="false"/>
          <w:sz w:val="20"/>
          <w:bdr w:val="single" w:sz="8" w:space="1" w:color="000000"/>
        </w:rPr>
        <w:t>Description of Capital Stock - Common Stock - Voting Rights” and “Description of Capital Stock - Preferred Stock</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Channels for Disclosure of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intend to announce material information to the public through filings with the SEC, the investor relations page on our website (www.aptera.us), press releases, public conference calls, public webcasts, and our social media pages. The information contained on, or that can be accessed through, our website is not incorporated by reference into, and is not a part of, this prospectus. Investors should not rely on any such information in deciding whether to purchase our securities.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information disclosed by the foregoing channels could be deemed to be material information. As such, we encourage investors, the media, and others to follow the channels listed above and to review the information disclosed through such channels.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Any updates to the list of disclosure channels through which we will announce information will be posted on the investor relations page on our website.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an Emerging Growth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company with less than $1.235 billion in revenue during our most recently completed fiscal year, we qualify as an “emerging growth company” as defined in Section 2(a) of the Securities Act as modified by the Jumpstart Our Business Startups Act of 2012, or the JOBS Act. As an emerging growth company, we may take advantage of specified reduced disclosure and other requirements that are otherwise applicable, in general, to public companies that are not emerging growth companies. These provisions include, but are not limited to:</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permitted to present only two years of audited financial statements and only two years of related Management’s Discussion and Analysis of Financial Condition and Results of Operations;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compliance with the auditor attestation requirement on the effectiveness of our internal control over financial reporting pursuant to the Sarbanes-Oxley Act of 2002;</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requirement that critical audit matters be discussed in our independent auditor’s reports on our audited financial statements or any other requirements that may be adopted by the Public Company Accounting Oversight Board unless the SEC determines that the application of such requirements to emerging growth companies is in the public interest;</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about our executive compensation arrangements;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to obtain a non-binding advisory vote on executive compensation or a stockholder approval of any golden parachute arrangements; and</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7135" w:type="dxa"/>
        <w:jc w:val="left"/>
        <w:tblInd w:w="0" w:type="dxa"/>
        <w:tblLayout w:type="fixed"/>
        <w:tblCellMar>
          <w:top w:w="0" w:type="dxa"/>
          <w:left w:w="0" w:type="dxa"/>
          <w:bottom w:w="0" w:type="dxa"/>
          <w:right w:w="0" w:type="dxa"/>
        </w:tblCellMar>
      </w:tblPr>
      <w:tblGrid>
        <w:gridCol w:w="75"/>
        <w:gridCol w:w="170"/>
        <w:gridCol w:w="68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extended transition periods for complying with new or revised accounting standards.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in any three-year period, more than $1.0 billion in non-convertible debt securities; and (4) the last day of the fiscal year ending after the fifth anniversary of the date of our first public equity sale.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take advantage of these exemptions until such time as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that have adopted the new or revised accounting standards. It is possible that some investors will find our Class B common stock less attractive as a result, which may result in a less active trading market for our Class B common stock and higher volatility in the stock price of our Class B common stock.</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 Smaller Reporting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also a “smaller reporting company” as defined in Rule 12b-2 promulgated under the Exchange Act, meaning that our annual revenue was less than $100.0 million during the most recently completed fiscal year and the market value of our Class B common stock held by non-affiliates was less than $700.0 million measured on the last business day of our second fiscal quarter. Accordingly, we may provide certain reduced disclosures available to smaller reporting companies, and the information that we provide to our stockholders may be different than information you might receive from other public reporting companies.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will qualify as a smaller reporting company until the fiscal year following the determination that the market value of our stock held by non-affiliates is more than $250 million measured on the last business day of our second fiscal quarter, or if our annual revenues are less than $100 million during the most recently completed fiscal year, until the fiscal year following the determination that the market value of our stock held by non-affiliates is more than $700 million measured on the last business day of our second fiscal quarter.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elected to take advantage of certain of the reduced disclosure obligations regarding executive compensation in this prospectus and may elect to take advantage of other reduced reporting requirements in future filings with the SEC. As a result, the information that we provide to our stockholders may be different from the information you receive from other public reporting companies.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Public Benefit Corporation Status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demonstration of our long-term commitment to promote solar mobility and to work towards positively impacting the communities in which we operate, we are treated as a public benefit corporation under Delaware law. As provided in the Amended &amp; Restated Certificate of Incorporation (our “Amended Charter”), the public benefits that we promote, and pursuant to which we manage our Company, are to break the chains of energy dependence by championing solar mobility-liberating communities, restoring sustainability, and forging a future where power belongs to the people. Being a public benefit corporation underscores our commitment to our purpose and our stakeholders, including consumers and customers, communities, and stockholders. See the section titled “</w:t>
      </w:r>
      <w:r>
        <w:rPr>
          <w:rFonts w:ascii="Times New Roman;Times;Serif" w:hAnsi="Times New Roman;Times;Serif"/>
          <w:b w:val="false"/>
          <w:i/>
          <w:caps w:val="false"/>
          <w:smallCaps w:val="false"/>
          <w:sz w:val="20"/>
          <w:bdr w:val="single" w:sz="8" w:space="1" w:color="000000"/>
        </w:rPr>
        <w:t>Description of Capital Stock-Public Benefit Corporation Status</w:t>
      </w:r>
      <w:r>
        <w:rPr>
          <w:rFonts w:ascii="Times New Roman;Times;Serif" w:hAnsi="Times New Roman;Times;Serif"/>
          <w:b w:val="false"/>
          <w:i w:val="false"/>
          <w:caps w:val="false"/>
          <w:smallCaps w:val="false"/>
          <w:sz w:val="20"/>
          <w:bdr w:val="single" w:sz="8" w:space="1" w:color="000000"/>
        </w:rPr>
        <w:t>” for additional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Nasdaq Listing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Class B common stock is listed on Nasdaq under the symbol “SEV.”</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Sx_004"/>
      <w:bookmarkEnd w:id="5"/>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Before deciding whether to invest in our securities, you should consider carefully the risks and uncertainties described in the section captioned “Risk Factors” contained in our most recent Annual Report on Form 10-K filed with the SEC, our Quarterly Reports on Form 10-Q, and our other filings we make with the SEC from time to time, which are incorporated by reference herein in their entirety, together with other information in this prospectus, the applicable prospectus supplement and any related free writing prospectus, and the information incorporated by reference herein and therein. Additional risks and uncertainties of which we are unaware, or that we currently deem immaterial, also may become important factors that affect us. You should also carefully consider the other information included or incorporated by reference in this prospectus. Each of the risks described in these documents could materially and adversely affect our business, financial condition, results of operations and prospects, and could result in a partial or complete loss of your investment. If any of these risks actually occurs, our business, financial condition, results of operations or cash flow could suffer materially. In such an event, the trading price of our shares of Class B common stock could decline, and you might lose all or part of your investment.</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Sx_005"/>
      <w:bookmarkEnd w:id="6"/>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applicable prospectus supplement or in any free writing prospectus we have authorized for use in connection with a specific offering, we intend to use the net proceeds from the sale of the securities offered by this prospectus for working capital and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intended application of proceeds from the sale of any particular offering of securities using this prospectus will be described in the accompanying prospectus supplement or free writing prospectus relating to such offering. The precise amount and timing of the application of these proceeds will depend on our funding requirements and the availability and costs of other funds. Our management will have broad discretion in applying the net proceeds from any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application of the net proceeds as described above, we intend to invest the proceeds to us in investment-grade, interest-bearing securities such as money market funds, certificates of deposit, or direct or guaranteed obligations of the U.S. government, or hold as cash. We cannot predict whether the proceeds invested will yield a favorable, or any, return.</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Sx_006"/>
      <w:bookmarkEnd w:id="7"/>
      <w:r>
        <w:rPr>
          <w:rFonts w:ascii="Times New Roman;Times;Serif" w:hAnsi="Times New Roman;Times;Serif"/>
          <w:b/>
          <w:i w:val="false"/>
          <w:caps/>
          <w:sz w:val="20"/>
        </w:rPr>
        <w:t>THE SECURITIES WE MAY OFFER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securities contained in this prospectus, together with the applicable prospectus supplements, summarize all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will also include in the prospectus supplement information, where applicable, about material United States federal income tax considerations relating to the securities, and the securities exchange, if any, on which the securities will be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w:t>
      </w:r>
    </w:p>
    <w:p>
      <w:pPr>
        <w:pStyle w:val="TextBody"/>
        <w:bidi w:val="0"/>
        <w:spacing w:before="0" w:after="0"/>
        <w:ind w:left="0" w:right="0" w:firstLine="72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shares of Class B common stock, preferred stock or other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consisting of any combination of the securities listed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refer to the Class B common stock, preferred stock, debt securities, warrants, subscription rights and units collectively as “securities.” The total dollar amount of all securities that we may sell will not exceed $250,000,000.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debt securities at a discount from their original stated principal amount, then, for purposes of calculating the total dollar amount of all securities issued under this prospectus, we will treat the initial offering price of the debt securities as the total original principal amount of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particular securities are offered, a supplement to this prospectus will be filed with the SEC, which will describe the terms of the offering and sale of the offered securities.</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Sx_007"/>
      <w:bookmarkEnd w:id="8"/>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descriptions summarize important terms of our capital stock. This summary reflects Aptera’s Amended and Restated Certificate of Incorporation (the “Amended Charter”) and does not purport to be complete and is qualified in its entirety by the Amended Charter and the Amended and Restated Bylaws (the “Bylaws”), which have been filed as Exhibits to the registration statement of which this prospectus forms a part. For a complete description of Aptera’s capital stock, you should refer to our Amended Charter and our Bylaws and applicable provisions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28, 2026, the authorized capital stock of the Company consists of 325,000,000 shares, comprised of 305,000,000 shares of common stock, par value $0.0001 per share, 190,000,000 of which shares are designated as “Class A common stock” and 115,000,000 of which shares are designated as “Class B common stock”, and 20,000,000 shares of preferred stock,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28, 2026, the Company has the following outstanding securities:</w:t>
      </w:r>
    </w:p>
    <w:p>
      <w:pPr>
        <w:pStyle w:val="TextBody"/>
        <w:bidi w:val="0"/>
        <w:spacing w:before="0" w:after="0"/>
        <w:ind w:left="0" w:right="0" w:firstLine="72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17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11,983,010 shares of Class A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28,949,488 shares of Class B Common Stock</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20,000,000 shares of Preferred Stock may be issued from time to time in one or more series by a resolution of the Board of Directors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has voting rights and our Class B common stock does not have voting rights under our Amended Charter. See “</w:t>
      </w:r>
      <w:r>
        <w:rPr>
          <w:rFonts w:ascii="Times New Roman;Times;Serif" w:hAnsi="Times New Roman;Times;Serif"/>
          <w:b w:val="false"/>
          <w:i/>
          <w:caps w:val="false"/>
          <w:smallCaps w:val="false"/>
          <w:sz w:val="20"/>
        </w:rPr>
        <w:t xml:space="preserve">Common Stock - Voting Rights” </w:t>
      </w:r>
      <w:r>
        <w:rPr>
          <w:rFonts w:ascii="Times New Roman;Times;Serif" w:hAnsi="Times New Roman;Times;Serif"/>
          <w:b w:val="false"/>
          <w:i w:val="false"/>
          <w:caps w:val="false"/>
          <w:smallCaps w:val="false"/>
          <w:sz w:val="20"/>
        </w:rPr>
        <w:t>and “</w:t>
      </w:r>
      <w:r>
        <w:rPr>
          <w:rFonts w:ascii="Times New Roman;Times;Serif" w:hAnsi="Times New Roman;Times;Serif"/>
          <w:b w:val="false"/>
          <w:i/>
          <w:caps w:val="false"/>
          <w:smallCaps w:val="false"/>
          <w:sz w:val="20"/>
        </w:rPr>
        <w:t xml:space="preserve">Preferred Stock” </w:t>
      </w:r>
      <w:r>
        <w:rPr>
          <w:rFonts w:ascii="Times New Roman;Times;Serif" w:hAnsi="Times New Roman;Times;Serif"/>
          <w:b w:val="false"/>
          <w:i w:val="false"/>
          <w:caps w:val="false"/>
          <w:smallCaps w:val="false"/>
          <w:sz w:val="20"/>
        </w:rPr>
        <w:t>below for further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 has the same rights and powers of, ranks equally to, shares ratably with and is identical in all respects, and as to all matters to Class A common stock; except that our Class B common stock is non-voting and is not entitled to any votes on any matter that is submitted to a vote of our stockholders, except as required by Delaware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is non-voting and is not entitled to any votes on any matter that is submitted to a vote of our stockholders, except as required by Delaware law, for instance, if we were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par value of the common stock;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our Amended Charter to alter the powers, preferences, or special rights of the common stock as a whole in a way that would adversely affect the holders of our Class B common stock.</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for changes in par value, it would require the majority approval of all holders of our common stock to approve such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Delaware law would permit holders of Class B common stock to vote separately, as a single class, if an amendment to our Amended Charter would adversely affect them by altering the powers, preferences, or special rights of the Class B common stock, but not the Class A common stock. As a result, in these limited instances, the holders of a majority of the Class B common stock could defeat any amendment to our Amended Charter. For example, if a proposed amendment of our Amended Charter provided for the Class B common stock to rank junior to the Class A common stock with respect to (i) any dividend or distribution, (ii) the distribution of proceeds were we to be acquired, or (iii) any other right, Delaware law would require the vote of the Class B common stock, with each share of Class B common stock entitled to one vote per share. In this instance, the holders of a majority of Class B common stock could defeat that amendment to our Amended Charter.</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upon and following the “Final Conversion Date” -defined as the date that no shares of Class A common stock remain outstanding-holders of Class B common stock will be entitled to one vote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provides that the number of authorized shares of common stock or any class of common stock, including our Class B common stock, may be increased or decreased (but not below the number of shares of common stock then outstanding) by the affirmative vote of the holders of a majority of the Class A common stock. As a result, the holders of a majority of the outstanding Class A common stock can approve an increase or decrease in the number of authorized shares of Class B common stock without a separate vote of the holders of Class B common stock. This could allow us to increase and issue additional shares of Class B common stock beyond what is currently authorized in our Amended Charter without the consent of the holders of our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shares of Class A common stock will be entitled to one vote for each share thereof held at the record date for the determination of the stockholders entitled to vote on such matters or, if no such record date is established, the date such vote is taken or any written consent of stockholders is solicited.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A common stock, voting together as a single class and not as a separate series, shall be entitled to elect and remove the directors of the Company. Following the Final Conversion Date, the holders of Class B common stock, voting together as a single class, shall be entitled to elect, remove and replace the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class of capital stock having prior rights to dividends, the holders of the Class A common stock and the Class B common stock shall be entitled to receive, on a pari passu basis, when and as declared by the Board of Directors, out of any assets of the Company legally available therefor, such dividends as may be declared from time to time by the Board of Directors, unless different treatment of the shares of each such class is approved by the affirmative vote of the holders of a majority of the outstanding shares of the applicable class of common stock treated adversely, voting separately as a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any series of Preferred Stock that may then be outstanding, in the event of the Company’s liquidation, or winding up, whether voluntary or involuntary, the assets of the Company legally available for distribution to stockholders shall be distributed on an equal priority, pro rata basis to the holders of Class A and Class B common stock, treated as a single class, unless different treatment of the shares of each such class is approved by the affirmative vote of the holders of a majority of the outstanding shares of Class A common stock and Class B common stock, each voting separately as a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Class A common stock is convertible at any time at the option of the holder into one share of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transfer of shares of Class A common stock, whether or not for value, each such transferred share will automatically convert into one share of Class B common stock, except for certain transfers described in our Amended Charter, including certain transfers for tax and estate planning purposes, transfers approved by our Board, and transfers to certain family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 of First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1,983,010 shares of the Company’s Class A common stock are subject to transfer restrictions. Should the holders of those shares wish to sell or transfer their securities, except under certain limited circumstances, the Company has a right of first refusal to purchase those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Aptera’s Class A and Class B common stock have no preemptive, subscription or other rights, and there are no redemption or sinking fund provisions applicable to Aptera’s Class A or Class B common stock.</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Charter, our board of directors will have the authority, without further action by our stockholders, to designate and issue shares of Preferred Stock in one or more series. Our board of directors may also designate the rights, preferences and privileges of the holders of each such series of Preferred Stock, any or all of which may be greater than or senior to those granted to the holders of common stock. Though the actual effect of any such issuance on the rights of the holders of common stock will not be known until such time as our board of directors determines the specific rights of the holders of Preferred Stock, the potential effects of such an issuance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diluting the voting power of the holders of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likelihood that holders of common stock will receive dividend payments;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likelihood that holders of common stock will receive payments in the event of our liquidation, dissolution, or winding up;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deterring, or preventing a change-in-control or other corporate takeover.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Benefit Corporation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benefit corporation under subchapter XV of the DGCL. As a public benefit corporation, our board of directors is required by the DGCL to manage or direct our business and affairs in a manner that balances the pecuniary interests of our stockholders, the best interests of those materially affected by our conduct, and the specific public benefits identified in our Amended Charter. We are also required to assess our benefit performance internally and to disclose to stockholders at least biennially a report that details our promotion of the public benefits identified in our Amended Charter and of the best interests of those materially affected by our conduct. We expect that our board of directors will measure our benefit performance against the objectives and standards proposed by the Company and approved by the board of directors. When determining the objectives and standards by which our board of directors will measure our public benefit performance, our board of directors will consider, among other factors, whether the objectives and standards are (i) comprehensive in that they assess the positive impact of our business on the communities in which we operate, and society and the environment, taken as a whole, (ii) credible in that they are comparable to the objectives and standards created by independent third parties that evaluate the corporate ethics, sustainability and governance practices of other public benefit corporations, and (iii) transparent in that the criteria considered for measuring such objectives and standards be made publicly available, including disclosing the process by which revisions to the objectives and standards are made and whether such objectives and standards present real or potential conflicts of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our stockholders may bring a derivative suit to enforce this requirement only if they own (individually or collectively,) at least the lesser of 2% of our outstanding shares or shares of at least $2 million in market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 Provision of our Amended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contains exclusive forum provisions that designate specific courts as the exclusive forums for certain legal actions. These provisions are intended to reduce the risk of costly and duplicative litigation but may limit a stockholder’s ability to bring claims in a judicial forum of their choosing.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our Amended Charter provides that, to the fullest extent permitted by law, the Court of Chancery of the State of Delaware (or, if the Court of Chancery does not have jurisdiction, the federal district court for the District of Delaware) will be the exclusive forum 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derivative action or proceeding brought on our behalf;</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of breach of a fiduciary duty owed by any current or former director, officer, other employee or stockholder of the Company to the Company or its stockholders;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arising pursuant to the DGCL, our Amended Charter, or our Bylaws;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governed by the internal affairs doctrine.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Amended Charter contains a federal forum provision that provides that the U.S. federal district courts shall be the exclusive forum for the resolution of any complaint asserting a cause of action arising under the Securities Act to the fullest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exclusive forum provisions do not apply to claims under the Exchange Act which is subject to exclusive federal jurisdiction under Section 27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our securities will be deemed to have notice of, and consented to, these exclusive forum provisions, including the federal forum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limit our stockholders’ ability to bring a claim in a forum they find favorable and may discourage lawsuits against us or our directors, officers, or employees. If a court were to find any of these provisions to be inapplicable or unenforceable in a particular case, we could incur additional costs associated with resolving the dispute in alternative jurisdictions, which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is quoted on Nasdaq under the symbol “SEV.”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of our Class B common stock is Computershare Trust Company, N.A.</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Sx_008"/>
      <w:bookmarkEnd w:id="9"/>
      <w:r>
        <w:rPr>
          <w:rFonts w:ascii="Times New Roman;Times;Serif" w:hAnsi="Times New Roman;Times;Serif"/>
          <w:b/>
          <w:i w:val="false"/>
          <w:caps/>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summarize below some of the provisions that will apply to the warrants unless the applicable prospectus supplement provides otherwise. This summary may not contain all information that is important to you. The complete terms of the warrants will be contained in the applicable warrant certificate and warrant agreement. These documents have been or will be included or incorporated by reference as exhibits to the registration statement of which this prospectus is a part. You should read the warrant certificate and the warrant agreement. You should also read the prospectus supplement, which will contain additional information and which may update or change some of the information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together with Class B common or preferred stock as units or separately, warrants for the purchase of shares of our Class B common stock, shares of our preferred stock, debt securities or other securities. The terms of each warrant will be discussed in the applicable prospectus supplement relating to the particular series of warrants. The form(s) of certificate representing the warrants and/or the warrant agreement, will be, in each case, filed with the SEC as an exhibit to a document incorporated by reference in the registration statement of which this prospectus is a part on or prior to the date of any prospectus supplement relating to an offering of the particular warrant. The following summary of material provisions of the warrants and the warrant agreements are subject to, and qualified in their entirety by reference to, all the provisions of the warrant agreement and warrant certificate applicable to a particular series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series of warrants that are offered by this prospectus will describe, among other things, the following terms to the extent they are applicable to that series of warrants: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and conditions relating to the exercise of the warrants;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Class B common or preferred stock, if any, issued with the warrants;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the warrants and any related shares of our Class B common or preferred stock will be separately transferable;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of the warrants, if 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Class B common or preferred stock, debt securities or other securities which may be purchased upon exercise of the warrants and the price or prices at which such securities may be purchased upon exercise;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warrants will begin and the date on which the right will expire;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any material United States federal income tax considerations applicable to the exercise of the warrants;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anti-dilution provisions of the warrants, if 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 provisions of the warrants, if any;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material terms of the warrants.</w:t>
            </w:r>
          </w:p>
        </w:tc>
      </w:tr>
    </w:tbl>
    <w:p>
      <w:pPr>
        <w:pStyle w:val="TextBody"/>
        <w:bidi w:val="0"/>
        <w:spacing w:before="0" w:after="0"/>
        <w:ind w:left="767"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may entitle the holder to purchase for cash, or, in limited circumstances, by effecting a cashless exercise for, the number of shares of our Class B common or preferred stock at the exercise price that is described in the applicable prospectus supplement. Warrants will be exercisable during the period of time described in the applicable prospectus supplement. After that period, unexercised warrants will be void. Warrants may be exercised in the manner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will not have any of the rights of a holder of our Class B common or preferred stock before the stock is purchased upon exercise of the warrant. Therefore, before a warrant is exercised, the holder of the warrant will not be entitled to receive any dividend payments or exercise any voting or other rights associated with shares of our Class B common or preferred stock which may be purchased when the warrant is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if any, for any warrants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Sx_009"/>
      <w:bookmarkEnd w:id="10"/>
      <w:r>
        <w:rPr>
          <w:rFonts w:ascii="Times New Roman;Times;Serif" w:hAnsi="Times New Roman;Times;Serif"/>
          <w:b/>
          <w:i w:val="false"/>
          <w:caps/>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summarize below some of the provisions that will apply to the debt securities unless the applicable prospectus supplement provides otherwise. This summary may not contain all information that is important to you. The debt securities may be issued pursuant to, in the case of senior debt securities, a senior indenture, and in the case of subordinated debt securities, a subordinated indenture, in each case in the forms filed as exhibits to this registration statement, which we refer to as the “indentures.” The indentures will be entered into between us and a trustee to be named prior to the issuance of any debt securities, which we refer to as the “trustee.” The indentures will not limit the amount of debt securities that can be issued thereunder and will provide that the debt securities may be issued from time to time in one or more series pursuant to the terms of one or more securities resolutions or supplemental indentures creating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 terms of the debt securities will be contained in the applicable indenture for the particular offering of debt securities itself which will describe the terms and definitions of the offered debt securities and contain additional information about such debt securities. You should also read the prospectus supplement, which will contain additional information and which may update or change some of the information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pStyle w:val="TextBody"/>
        <w:bidi w:val="0"/>
        <w:spacing w:before="0" w:after="0"/>
        <w:ind w:left="0" w:right="0" w:firstLine="72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17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aggregate principal amount, currency or composite currency and denominations;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such debt securities will be issued and, if an index formula or other method is used, the method for determining amounts of principal or interest;</w:t>
            </w:r>
          </w:p>
        </w:tc>
      </w:tr>
    </w:tbl>
    <w:p>
      <w:pPr>
        <w:pStyle w:val="TextBody"/>
        <w:bidi w:val="0"/>
        <w:spacing w:before="0" w:after="0"/>
        <w:ind w:left="720" w:right="0" w:hanging="360"/>
        <w:jc w:val="both"/>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and other dates, if any, on which principal will be payable;</w:t>
            </w:r>
          </w:p>
        </w:tc>
      </w:tr>
    </w:tbl>
    <w:p>
      <w:pPr>
        <w:pStyle w:val="TextBody"/>
        <w:bidi w:val="0"/>
        <w:spacing w:before="0" w:after="0"/>
        <w:ind w:left="720" w:right="0" w:hanging="36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debt securities will be secured or unsecured, and the terms of any secured debt;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rank as senior debt, senior subordinated debt, subordinated debt or any combination thereof, and the terms of any subordination;</w:t>
            </w:r>
          </w:p>
        </w:tc>
      </w:tr>
    </w:tbl>
    <w:p>
      <w:pPr>
        <w:pStyle w:val="TextBody"/>
        <w:bidi w:val="0"/>
        <w:spacing w:before="0" w:after="0"/>
        <w:ind w:left="720" w:right="0" w:hanging="36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17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(which may be fixed or variable), if any;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from which interest will accrue and on which interest will be payable, and the record dates for the payment of interest;</w:t>
            </w:r>
          </w:p>
        </w:tc>
      </w:tr>
    </w:tbl>
    <w:p>
      <w:pPr>
        <w:pStyle w:val="TextBody"/>
        <w:bidi w:val="0"/>
        <w:spacing w:before="0" w:after="0"/>
        <w:ind w:left="720" w:right="0" w:hanging="360"/>
        <w:jc w:val="both"/>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of paying principal and interest;</w:t>
            </w:r>
          </w:p>
        </w:tc>
      </w:tr>
    </w:tbl>
    <w:p>
      <w:pPr>
        <w:pStyle w:val="TextBody"/>
        <w:bidi w:val="0"/>
        <w:spacing w:before="0" w:after="0"/>
        <w:ind w:left="720" w:right="0" w:hanging="36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principal and interest will be payable;</w:t>
            </w:r>
          </w:p>
        </w:tc>
      </w:tr>
    </w:tbl>
    <w:p>
      <w:pPr>
        <w:pStyle w:val="TextBody"/>
        <w:bidi w:val="0"/>
        <w:spacing w:before="0" w:after="0"/>
        <w:ind w:left="720" w:right="0" w:hanging="360"/>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17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mandatory or optional redemption by us or any third party including any sinking fund;</w:t>
            </w:r>
          </w:p>
        </w:tc>
      </w:tr>
    </w:tbl>
    <w:p>
      <w:pPr>
        <w:pStyle w:val="TextBody"/>
        <w:bidi w:val="0"/>
        <w:spacing w:before="0" w:after="0"/>
        <w:ind w:left="720" w:right="0" w:hanging="360"/>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conversion or exchange;</w:t>
            </w:r>
          </w:p>
        </w:tc>
      </w:tr>
    </w:tbl>
    <w:p>
      <w:pPr>
        <w:pStyle w:val="TextBody"/>
        <w:bidi w:val="0"/>
        <w:spacing w:before="0" w:after="0"/>
        <w:ind w:left="720" w:right="0" w:hanging="36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redemption at the option of holders or put by the holders;</w:t>
            </w:r>
          </w:p>
        </w:tc>
      </w:tr>
    </w:tbl>
    <w:p>
      <w:pPr>
        <w:pStyle w:val="TextBody"/>
        <w:bidi w:val="0"/>
        <w:spacing w:before="0" w:after="0"/>
        <w:ind w:left="720" w:right="0" w:hanging="360"/>
        <w:jc w:val="both"/>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tax indemnity provisions;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provide that payments of principal or interest may be made in a currency other than that in which debt securities are denominated, the manner for determining such payments;</w:t>
            </w:r>
          </w:p>
        </w:tc>
      </w:tr>
    </w:tbl>
    <w:p>
      <w:pPr>
        <w:pStyle w:val="TextBody"/>
        <w:bidi w:val="0"/>
        <w:spacing w:before="0" w:after="0"/>
        <w:ind w:left="720" w:right="0" w:hanging="36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principal payable upon acceleration of a Discounted Debt Security (as defined below);</w:t>
            </w:r>
          </w:p>
        </w:tc>
      </w:tr>
    </w:tbl>
    <w:p>
      <w:pPr>
        <w:pStyle w:val="TextBody"/>
        <w:bidi w:val="0"/>
        <w:spacing w:before="0" w:after="0"/>
        <w:ind w:left="720" w:right="0" w:hanging="36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upon what terms debt securities may be defeased;</w:t>
            </w:r>
          </w:p>
        </w:tc>
      </w:tr>
    </w:tbl>
    <w:p>
      <w:pPr>
        <w:pStyle w:val="TextBody"/>
        <w:bidi w:val="0"/>
        <w:spacing w:before="0" w:after="0"/>
        <w:ind w:left="720" w:right="0" w:hanging="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38"/>
        <w:gridCol w:w="17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events of default or covenants in addition to or in lieu of those set forth in the indentures;</w:t>
            </w:r>
          </w:p>
        </w:tc>
      </w:tr>
    </w:tbl>
    <w:p>
      <w:pPr>
        <w:pStyle w:val="TextBody"/>
        <w:bidi w:val="0"/>
        <w:spacing w:before="0" w:after="0"/>
        <w:ind w:left="720" w:right="0" w:hanging="36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electronic issuance of debt securities or for debt securities in uncertificated form;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of any series may be issued as registered debt securities or uncertificated debt securities, in such denominations as specified in the terms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may be issued under the indentures as Discounted Debt Securities to be offered and sold at a substantial discount from the principal amount thereof. Special United States federal income tax and other considerations applicable thereto will be described in the prospectus supplement relating to such Discounted Debt Securities. “Discounted Debt Security” means a security where the amount of principal due upon acceleration is less than the stated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debt securities will rank equally with all of our other senior and unsubordinated debt. Our secured debt, if any, will be effectively senior to the senior debt securities to the extent of the value of the assets securing such debt. The subordinated debt securities will be subordinate and junior in right of payment to all of our present and future senior indebtedness to the extent and in the manner described in the prospectus supplement and as set forth in the board resolution, officer’s certificate or supplemental indenture relating to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debt securities will be our creditors and not creditors of any of our subsidiaries. As a result, all the existing and future liabilities of our subsidiaries, including any claims of their creditors, will effectively be senior to the debt securities with respect to the assets of our subsidiaries. In addition, to the extent that we issue any secured debt, the debt securities will be effectively subordinated to such secured debt to the extent of the value of the assets securing such secured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obligations exclusively of Aptera Motors Corp. To the extent that our ability to service our debt, including the debt securities, may be dependent upon the earnings of our subsidiaries, our ability to do so will be dependent on the ability of our subsidiaries to distribute those earnings to us as dividends, loans or other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covenants that may apply to a particular series of debt securities will be described in the prospectus supplement relating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unless otherwise specified in the securities resolution or supplemental indenture establishing a series of debt securities, we shall not consolidate with or merge into, or transfer all or substantially all of our assets to, any person in any transaction in which we are not the survivor, unless:</w:t>
      </w:r>
    </w:p>
    <w:p>
      <w:pPr>
        <w:pStyle w:val="TextBody"/>
        <w:bidi w:val="0"/>
        <w:spacing w:before="0" w:after="0"/>
        <w:ind w:left="0" w:right="0" w:firstLine="72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17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is organized under the laws of the United States or a jurisdiction within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assumes by supplemental indenture all of our obligations under the relevant indenture, the debt securities and any coupons;</w:t>
            </w:r>
          </w:p>
        </w:tc>
      </w:tr>
    </w:tbl>
    <w:p>
      <w:pPr>
        <w:pStyle w:val="TextBody"/>
        <w:bidi w:val="0"/>
        <w:spacing w:before="0" w:after="0"/>
        <w:ind w:left="720" w:right="0" w:hanging="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no Default (as defined below) exists;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deliver to the trustee an officers’ certificate and opinion of counsel stating that the transaction complies with the foregoing requirements.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event, the successor will be substituted for us, and thereafter all of our obligations under the relevant indenture, the debt securities and any coupons will terminate.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debt securities may be exchanged for an equal aggregate principal amount of registered debt securities of the same series and date of maturity in such authorized denominations as may be requested upon surrender of the registered debt securities at an agency of the Company maintained for such purpose and upon fulfillment of all other requirements of such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Defaults and 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securities resolution or supplemental indenture establishing the series otherwise provides (in which event the prospectus supplement will so state), an “Event of Default” with respect to a series of debt securities will occur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40"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default in any payment of interest on any debt securities of such series when the same becomes due and payable and the default continues for a period of 30 days;</w:t>
            </w:r>
          </w:p>
        </w:tc>
      </w:tr>
    </w:tbl>
    <w:p>
      <w:pPr>
        <w:pStyle w:val="TextBody"/>
        <w:bidi w:val="0"/>
        <w:spacing w:before="0" w:after="0"/>
        <w:ind w:left="540"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default in the payment of the principal and premium, if any, of any debt securities of such series when the same becomes due and payable at maturity or upon redemption, acceleration or otherwise and such default shall continue for five or more days;</w:t>
            </w:r>
          </w:p>
        </w:tc>
      </w:tr>
    </w:tbl>
    <w:p>
      <w:pPr>
        <w:pStyle w:val="TextBody"/>
        <w:bidi w:val="0"/>
        <w:spacing w:before="0" w:after="0"/>
        <w:ind w:left="540"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default in the performance of any of our other agreements applicable to the series and the default continues for 30 days after the notice specified below;</w:t>
            </w:r>
          </w:p>
        </w:tc>
      </w:tr>
    </w:tbl>
    <w:p>
      <w:pPr>
        <w:pStyle w:val="TextBody"/>
        <w:bidi w:val="0"/>
        <w:spacing w:before="0" w:after="0"/>
        <w:ind w:left="540" w:right="0" w:hanging="324"/>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245"/>
        <w:gridCol w:w="8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of competent jurisdiction enters an order or decree under any Bankruptcy Law (as defined below) that:</w:t>
            </w:r>
          </w:p>
        </w:tc>
      </w:tr>
    </w:tbl>
    <w:p>
      <w:pPr>
        <w:pStyle w:val="TextBody"/>
        <w:bidi w:val="0"/>
        <w:spacing w:before="0" w:after="0"/>
        <w:ind w:left="1008" w:right="0" w:hanging="461"/>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for relief against us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appoints a Custodian (as defined below) for us or for all or substantially all of our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orders the liquidation of us, and the order or decree remains unstayed and in effect for 90 days;</w:t>
      </w:r>
    </w:p>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245"/>
        <w:gridCol w:w="50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pursuant to or within the meaning of any Bankruptcy Law:</w:t>
            </w:r>
          </w:p>
        </w:tc>
      </w:tr>
    </w:tbl>
    <w:p>
      <w:pPr>
        <w:pStyle w:val="TextBody"/>
        <w:bidi w:val="0"/>
        <w:spacing w:before="0" w:after="0"/>
        <w:ind w:left="1008" w:right="0" w:hanging="461"/>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commence a 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consent to the entry of an order for relief against us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consent to the appointment of a Custodian for us or for all or substantially all of our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make a general assignment for the benefit of our creditors; or</w:t>
      </w:r>
    </w:p>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245"/>
        <w:gridCol w:w="5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occurs any other Event of Default provided for in such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“Bankruptcy Law” means Title 11 of the United States Code or any similar Federal or State law for the relief of debtors. The term “Custodian” means any receiver, trustee, assignee, liquidator or a similar official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means any event which is, or after notice or passage of time would be, an Event of Default. A Default under subparagraph (3) above is not an Event of Default until the trustee or the holders of at least 25% in principal amount of the series notify us of the Default and we do not cure the Default within the time specified after receipt of the notice.</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indemnity satisfactory to it before it enforces the indentures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securityholders of such series notice of any continuing Default if the trustee determines that withholding notice is in the interest of such securityholders. We are required to furnish the trustee annually a brief certificate as to our compliance with all conditions and covenants under the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have cross-default provisions. Thus, a default by us on any other debt, including any other series of debt securities, would not constitute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Waivers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or any coupons of the series may be amended, and any Default may be waived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securities resolution or supplemental indenture otherwise provides (in which event the applicable prospectus supplement will so state), the debt securities and the indentures may be amended with the consent of the holders of a majority in principal amount of the debt securities of all series affected voting as one class. Unless the securities resolution or supplemental indenture otherwise provides (in which event the applicable prospectus supplement will so state), a Default other than a Default in payment on a particular series may be waived with the consent of the holders of a majority in principal amount of the debt securities of the series. However, without the consent of each securityholder affected, no amendment or waiver may:</w:t>
      </w:r>
    </w:p>
    <w:p>
      <w:pPr>
        <w:pStyle w:val="TextBody"/>
        <w:bidi w:val="0"/>
        <w:spacing w:before="0" w:after="0"/>
        <w:ind w:left="0" w:right="0" w:firstLine="72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17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fixed maturity of or the time for payment of interest on any debt security;</w:t>
            </w:r>
          </w:p>
        </w:tc>
      </w:tr>
    </w:tbl>
    <w:p>
      <w:pPr>
        <w:pStyle w:val="TextBody"/>
        <w:bidi w:val="0"/>
        <w:spacing w:before="0" w:after="0"/>
        <w:ind w:left="720" w:right="0" w:hanging="360"/>
        <w:jc w:val="both"/>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principal, premium or interest payable with respect to any debt security;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place of payment of a debt security or the currency in which the principal or interest on a debt security is payable;</w:t>
            </w:r>
          </w:p>
        </w:tc>
      </w:tr>
    </w:tbl>
    <w:p>
      <w:pPr>
        <w:pStyle w:val="TextBody"/>
        <w:bidi w:val="0"/>
        <w:spacing w:before="0" w:after="0"/>
        <w:ind w:left="720" w:right="0" w:hanging="36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17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for calculating any redemption or repurchase price with respect to any debt security;</w:t>
            </w:r>
          </w:p>
        </w:tc>
      </w:tr>
    </w:tbl>
    <w:p>
      <w:pPr>
        <w:pStyle w:val="TextBody"/>
        <w:bidi w:val="0"/>
        <w:spacing w:before="0" w:after="0"/>
        <w:ind w:left="720" w:right="0" w:hanging="36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amount of debt securities whose holders must consent to an amendment or waiver;</w:t>
            </w:r>
          </w:p>
        </w:tc>
      </w:tr>
    </w:tbl>
    <w:p>
      <w:pPr>
        <w:pStyle w:val="TextBody"/>
        <w:bidi w:val="0"/>
        <w:spacing w:before="0" w:after="0"/>
        <w:ind w:left="720" w:right="0" w:hanging="36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17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 that materially adversely affects the right to convert any debt security;</w:t>
            </w:r>
          </w:p>
        </w:tc>
      </w:tr>
    </w:tbl>
    <w:p>
      <w:pPr>
        <w:pStyle w:val="TextBody"/>
        <w:bidi w:val="0"/>
        <w:spacing w:before="0" w:after="0"/>
        <w:ind w:left="720" w:right="0" w:hanging="36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 any Default in payment of principal of or interest on a debt security; or</w:t>
            </w:r>
          </w:p>
        </w:tc>
      </w:tr>
    </w:tbl>
    <w:p>
      <w:pPr>
        <w:pStyle w:val="TextBody"/>
        <w:bidi w:val="0"/>
        <w:spacing w:before="0" w:after="0"/>
        <w:ind w:left="720" w:right="0" w:hanging="36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any holder’s rights with respect to redemption or repurchase of a debt security.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any securityholder, the indentures or the debt securities may be amended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assumption of our obligations to securityholders in the event of a merger or consolidation requiring such assumption;</w:t>
            </w:r>
          </w:p>
        </w:tc>
      </w:tr>
    </w:tbl>
    <w:p>
      <w:pPr>
        <w:pStyle w:val="TextBody"/>
        <w:bidi w:val="0"/>
        <w:spacing w:before="0" w:after="0"/>
        <w:ind w:left="720" w:right="0" w:hanging="36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cure any ambiguity, omission, defect or inconsistency;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conform the terms of the debt securities to the description thereof in the prospectus and prospectus supplement offering such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17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create a series and establish its terms;</w:t>
            </w:r>
          </w:p>
        </w:tc>
      </w:tr>
    </w:tbl>
    <w:p>
      <w:pPr>
        <w:pStyle w:val="TextBody"/>
        <w:bidi w:val="0"/>
        <w:spacing w:before="0" w:after="0"/>
        <w:ind w:left="720" w:right="0" w:hanging="360"/>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any change that does not adversely affect the rights of any securityholder;</w:t>
            </w:r>
          </w:p>
        </w:tc>
      </w:tr>
    </w:tbl>
    <w:p>
      <w:pPr>
        <w:pStyle w:val="TextBody"/>
        <w:bidi w:val="0"/>
        <w:spacing w:before="0" w:after="0"/>
        <w:ind w:left="720" w:right="0" w:hanging="36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our covenants; or</w:t>
            </w:r>
          </w:p>
        </w:tc>
      </w:tr>
    </w:tbl>
    <w:p>
      <w:pPr>
        <w:pStyle w:val="TextBody"/>
        <w:bidi w:val="0"/>
        <w:spacing w:before="0" w:after="0"/>
        <w:ind w:left="720" w:right="0" w:hanging="360"/>
        <w:jc w:val="both"/>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any other change to the indentures so long as no debt securities are outstanding.</w:t>
            </w:r>
          </w:p>
        </w:tc>
      </w:tr>
    </w:tbl>
    <w:p>
      <w:pPr>
        <w:pStyle w:val="TextBody"/>
        <w:bidi w:val="0"/>
        <w:spacing w:before="0" w:after="0"/>
        <w:ind w:left="720" w:right="0" w:hanging="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resolution or supplemental indenture establishing a series of debt securities may provide that the debt securities of such series will be convertible at the option of the holders thereof into or for our Class B common stock or other equity or debt instruments. The securities resolution or supplemental indenture may establish, among other things, (1) the number or amount of shares of Class B common stock or other equity or debt instruments for which $1,000 aggregate principal amount of the debt securities of the series is convertible, as may be adjusted pursuant to the terms of the relevant indenture and the securities resolution; and (2) provisions for adjustments to the conversion rate and limitations upon exercise of the conversion right. The indentures provide that we will not be required to make an adjustment in the conversion rate unless the adjustment would require a cumulative change of at least 1% in the conversion rate. However, we will carry forward any adjustments that are less than 1% of the conversion rate and take them into account in any subsequent adjustment of the conversion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Defeasance and Covenant 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debt securities and coupons and to maintain paying agencies in respect of the debt securities) with respect to the debt securities of the series and any related coupons and the relevant indenture, which we refer to as legal defeasance. We at any time may terminate as to a series our obligations with respect to any restrictive covenants which may be applicable to a particular series, which we refer to as covenant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either defeasance option as to a series, we must (1) irrevocably deposit in trust with the trustee (or another trustee) money or U.S. Government Obligations (as defined below), 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such series to maturity or redemption, as the case may be; and (2) comply with certain other conditions. In particular, we must obtain an opinion of tax counsel that the defeasance will not result in recognition of any gain or loss to holders for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Regarding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the trustee will also act as depository of funds, transfer agent, paying agent and conversion agent, as applicable, with respect to the debt securities. In certain circumstances, we or the securityholders may remove the trustee as the trustee under a given indenture. The indenture trustee may also provide additional unrelated services to us as a depository of funds, registrar, trustee and similar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New York law, except to the extent that the Trust Indenture Act of 1939 is applicable.</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Sx_010"/>
      <w:bookmarkEnd w:id="11"/>
      <w:r>
        <w:rPr>
          <w:rFonts w:ascii="Times New Roman;Times;Serif" w:hAnsi="Times New Roman;Times;Serif"/>
          <w:b/>
          <w:i w:val="false"/>
          <w:caps/>
          <w:sz w:val="20"/>
        </w:rPr>
        <w:t>DESCRIPTION OF SUBSCRIPTION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our Class B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subscription rights we offer, if any, will, to the extent applicable, include specific terms relating to the offering, including some or all of the following:</w:t>
      </w:r>
    </w:p>
    <w:p>
      <w:pPr>
        <w:pStyle w:val="TextBody"/>
        <w:bidi w:val="0"/>
        <w:spacing w:before="0" w:after="0"/>
        <w:ind w:left="0" w:right="0" w:firstLine="72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17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if any, for the subscription rights;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payable for our Class B common stock, preferred stock or debt securities upon the exercise of the subscription rights;</w:t>
            </w:r>
          </w:p>
        </w:tc>
      </w:tr>
    </w:tbl>
    <w:p>
      <w:pPr>
        <w:pStyle w:val="TextBody"/>
        <w:bidi w:val="0"/>
        <w:spacing w:before="0" w:after="0"/>
        <w:ind w:left="720" w:right="0" w:hanging="360"/>
        <w:jc w:val="both"/>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17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subscription rights to be issued to each stockholder;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terms of our Class B common stock, preferred stock or debt securities which may be purchased per each subscription right;</w:t>
            </w:r>
          </w:p>
        </w:tc>
      </w:tr>
    </w:tbl>
    <w:p>
      <w:pPr>
        <w:pStyle w:val="TextBody"/>
        <w:bidi w:val="0"/>
        <w:spacing w:before="0" w:after="0"/>
        <w:ind w:left="720" w:right="0" w:hanging="360"/>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17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are transferable;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subscription rights, including the terms, procedures and limitations relating to the exchange and exercise of the subscription rights;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subscription rights shall commence, and the date on which the subscription rights shall expire;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may include an over-subscription privilege with respect to unsubscribed securities or an over-allotment privilege to the extent the securities are fully subscribed;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or purchase arrangement which may be entered into by Aptera in connection with the offering of subscription rights.</w:t>
            </w:r>
          </w:p>
        </w:tc>
      </w:tr>
    </w:tbl>
    <w:p>
      <w:pPr>
        <w:pStyle w:val="TextBody"/>
        <w:bidi w:val="0"/>
        <w:spacing w:before="0" w:after="0"/>
        <w:ind w:left="720" w:right="0" w:hanging="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Sx_011"/>
      <w:bookmarkEnd w:id="12"/>
      <w:r>
        <w:rPr>
          <w:rFonts w:ascii="Times New Roman;Times;Serif" w:hAnsi="Times New Roman;Times;Serif"/>
          <w:b/>
          <w:i w:val="false"/>
          <w:caps/>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(but, to the extent convertible securities are included in the units, the holder of the units will be deemed the holder of the convertible securities and not the holder of the underlying securities). The unit agreement under which a unit is issued may provide that the securities included in the unit may not be held or transferred separately, at any time or at any time before a specified date. The applicable prospectus supplement may describe: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w:t>
            </w:r>
          </w:p>
        </w:tc>
      </w:tr>
    </w:tbl>
    <w:p>
      <w:pPr>
        <w:pStyle w:val="TextBody"/>
        <w:bidi w:val="0"/>
        <w:spacing w:before="0" w:after="0"/>
        <w:ind w:left="720" w:right="0" w:hanging="36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unit agreement governing the units;</w:t>
            </w:r>
          </w:p>
        </w:tc>
      </w:tr>
    </w:tbl>
    <w:p>
      <w:pPr>
        <w:pStyle w:val="TextBody"/>
        <w:bidi w:val="0"/>
        <w:spacing w:before="0" w:after="0"/>
        <w:ind w:left="720" w:right="0" w:hanging="360"/>
        <w:jc w:val="both"/>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17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federal income tax considerations relevant to the units; and</w:t>
            </w:r>
          </w:p>
        </w:tc>
      </w:tr>
    </w:tbl>
    <w:p>
      <w:pPr>
        <w:pStyle w:val="TextBody"/>
        <w:bidi w:val="0"/>
        <w:spacing w:before="0" w:after="0"/>
        <w:ind w:left="720" w:right="0" w:hanging="36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units will be issued in fully registered global form.</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x_012"/>
      <w:bookmarkEnd w:id="13"/>
      <w:r>
        <w:rPr>
          <w:rFonts w:ascii="Times New Roman;Times;Serif" w:hAnsi="Times New Roman;Times;Serif"/>
          <w:b/>
          <w:i w:val="false"/>
          <w:caps w:val="false"/>
          <w:smallCaps w:val="false"/>
          <w:sz w:val="20"/>
        </w:rPr>
        <w:t>FORMS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and, to the extent applicable, warrant, subscription right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Registered Global Securities</w:t>
      </w:r>
      <w:r>
        <w:rPr>
          <w:rFonts w:ascii="Times New Roman;Times;Serif" w:hAnsi="Times New Roman;Times;Serif"/>
          <w:b w:val="false"/>
          <w:i w:val="false"/>
          <w:caps w:val="false"/>
          <w:smallCaps w:val="false"/>
          <w:sz w:val="20"/>
        </w:rPr>
        <w:t>. We may issue the registered debt securities and, to the extent applicable, warrants, subscription rights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premium, if any, and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Aptera, the trustees, the warrant agents or any other agent of Aptera, agent of the trustees or agent of the warrant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or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Sx_013"/>
      <w:bookmarkEnd w:id="14"/>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being offered pursuant to this prospectus through underwriters or dealers, through agents, or directly to one or more purchasers or through a combination of these methods. The applicable prospectus supplement will describe the terms of the offering of the securities, including:</w:t>
      </w:r>
    </w:p>
    <w:p>
      <w:pPr>
        <w:pStyle w:val="TextBody"/>
        <w:bidi w:val="0"/>
        <w:spacing w:before="0" w:after="0"/>
        <w:ind w:left="0" w:right="0" w:firstLine="72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230"/>
        <w:gridCol w:w="6935"/>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underwriters, if any, and if required, any dealers or agents;</w:t>
            </w:r>
          </w:p>
        </w:tc>
      </w:tr>
      <w:tr>
        <w:trPr/>
        <w:tc>
          <w:tcPr>
            <w:tcW w:w="75" w:type="dxa"/>
            <w:tcBorders/>
            <w:vAlign w:val="center"/>
          </w:tcPr>
          <w:p>
            <w:pPr>
              <w:pStyle w:val="TableContents"/>
              <w:bidi w:val="0"/>
              <w:spacing w:before="0" w:after="283"/>
              <w:jc w:val="both"/>
              <w:rPr/>
            </w:pPr>
            <w:r>
              <w:rPr/>
              <w:t> </w:t>
            </w:r>
          </w:p>
        </w:tc>
        <w:tc>
          <w:tcPr>
            <w:tcW w:w="716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securities and the proceeds we will receive from the sale;</w:t>
            </w:r>
          </w:p>
        </w:tc>
      </w:tr>
      <w:tr>
        <w:trPr/>
        <w:tc>
          <w:tcPr>
            <w:tcW w:w="75" w:type="dxa"/>
            <w:tcBorders/>
            <w:vAlign w:val="center"/>
          </w:tcPr>
          <w:p>
            <w:pPr>
              <w:pStyle w:val="TableContents"/>
              <w:bidi w:val="0"/>
              <w:spacing w:before="0" w:after="283"/>
              <w:jc w:val="both"/>
              <w:rPr/>
            </w:pPr>
            <w:r>
              <w:rPr/>
              <w:t> </w:t>
            </w:r>
          </w:p>
        </w:tc>
        <w:tc>
          <w:tcPr>
            <w:tcW w:w="716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and other items constituting underwriters’ compensation;</w:t>
            </w:r>
          </w:p>
        </w:tc>
      </w:tr>
      <w:tr>
        <w:trPr/>
        <w:tc>
          <w:tcPr>
            <w:tcW w:w="75" w:type="dxa"/>
            <w:tcBorders/>
            <w:vAlign w:val="center"/>
          </w:tcPr>
          <w:p>
            <w:pPr>
              <w:pStyle w:val="TableContents"/>
              <w:bidi w:val="0"/>
              <w:spacing w:before="0" w:after="283"/>
              <w:jc w:val="both"/>
              <w:rPr/>
            </w:pPr>
            <w:r>
              <w:rPr/>
              <w:t> </w:t>
            </w:r>
          </w:p>
        </w:tc>
        <w:tc>
          <w:tcPr>
            <w:tcW w:w="716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paid to dealers; and</w:t>
            </w:r>
          </w:p>
        </w:tc>
      </w:tr>
      <w:tr>
        <w:trPr/>
        <w:tc>
          <w:tcPr>
            <w:tcW w:w="75" w:type="dxa"/>
            <w:tcBorders/>
            <w:vAlign w:val="center"/>
          </w:tcPr>
          <w:p>
            <w:pPr>
              <w:pStyle w:val="TableContents"/>
              <w:bidi w:val="0"/>
              <w:spacing w:before="0" w:after="283"/>
              <w:jc w:val="both"/>
              <w:rPr/>
            </w:pPr>
            <w:r>
              <w:rPr/>
              <w:t> </w:t>
            </w:r>
          </w:p>
        </w:tc>
        <w:tc>
          <w:tcPr>
            <w:tcW w:w="716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or market on which the securities may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the securities from time to time in one or more transactions at:</w:t>
      </w:r>
    </w:p>
    <w:p>
      <w:pPr>
        <w:pStyle w:val="TextBody"/>
        <w:bidi w:val="0"/>
        <w:spacing w:before="0" w:after="0"/>
        <w:ind w:left="0" w:right="0" w:firstLine="72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5"/>
        <w:gridCol w:w="230"/>
        <w:gridCol w:w="40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fixed price or prices, which may be changed;</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prices prevailing at the time of sale;</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prices related to such prevailing market prices;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402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negotiated prices.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to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a dealer in the sale of the securities being offered pursuant to this prospectus or any prospectus supplement, we will sell the securities to the dealer, as principal. The dealer may then resell the securities to the public at varying prices to be determined by the dealer at the time of resale. The names of the dealers and the terms of the transaction will be specified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provide agents and underwriters with indemnification against particular civil liabilities, including liabilities under the Securities Act, or contribution with respect to payments that the agents or underwriters may make with respect to such liabilities. Agents and underwriters may engage in transactions with, or perform services for, us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an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those circumstances, such persons would cover such over-allotments or short positions by purchasing in the open market or by exercising the over-allotment option granted to those persons.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we may offer, other than Class B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Class B common stock which is listed on Nasdaq. We have no current plans for listing of the preferred stock, warrants, units or subscription rights on any securities exchange or quotation system; any such listing with respect to any particular preferred stock, warrants, units or subscription rights will be described in the applicable prospectus supplement or other offering materials, as the case may be. Any underwriters to whom securities are sold by us for public offering and sale may make a market in the securities, but such underwriters will not be obligated to do so and may discontinue any market making at any time without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15c6-1 under the Exchange Act generally requires that trades in the secondary market settle in one business day unless the parties to any such trade expressly agree otherwise. Your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applicable prospectus supplement and any applicable pricing supplement in electronic format may be made available on the Internet sites of, or through other online services maintained by, us and/or one or more of the agents and/or dealers participating in an offering of securities, or by their affiliates. In those cases, prospective investors may be able to view offering terms online and, depending upon the particular agent or dealer, prospective investors may be allowed to place orders online.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this prospectus, any applicable prospectus supplement and any applicable pricing supplement in electronic format, the information on our website or the website of any agent or dealer, and any information contained in any other website maintained by any agent or dealer:</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part of this prospectus, any applicable prospectus supplement or any applicable pricing supplement or the registration statement of which they form a part;</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not been approved or endorsed by us or by any agent or dealer in its capacity as an agent or dealer, except, in each case, with respect to the respective website maintained by such entity; and</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should not be relied upon by investors.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sell all or any of the securities offered by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also be used in connection with any issuance of Class B common stock or preferred stock upon exercise of a warrant if such issuance is not exempt from the registration requirements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issue the securities as a dividend or distribution or in a subscription rights offering to our existing securityholders. In some cases, we or dealers acting with us or on our behalf may also 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Sx_014"/>
      <w:bookmarkEnd w:id="15"/>
      <w:r>
        <w:rPr>
          <w:rFonts w:ascii="Times New Roman;Times;Serif" w:hAnsi="Times New Roman;Times;Serif"/>
          <w:b/>
          <w:i w:val="false"/>
          <w:caps/>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offered hereby will be passed upon for us by Lowenstein Sandler LLP, New York, New York. If the validity of the securities offered hereby in connection with offerings made pursuant to this prospectus are passed upon by counsel for the underwriters, dealers or agents, if any, such counsel will be named in the prospectus supplement relating to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Sx_015"/>
      <w:bookmarkEnd w:id="16"/>
      <w:r>
        <w:rPr>
          <w:rFonts w:ascii="Times New Roman;Times;Serif" w:hAnsi="Times New Roman;Times;Serif"/>
          <w:b/>
          <w:i w:val="false"/>
          <w:caps/>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Aptera Motors Corp. as of December 31, 2025 and 2024, and for the years then ended, appearing in Aptera Motors Corp.’s Annual Report on Form 10-K for the year ended December 31, 2025, have been audited by dbbmckennon, independent registered public accounting firm, as set forth in their report thereon and incorporated herein by reference. Such financial statements are incorporated herein by reference in reliance upon such report of dbbmckennon pertaining to such financial statements given on the authority of such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Sx_016"/>
      <w:bookmarkEnd w:id="17"/>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S-3 under the Securities Act for the securities being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any of our contracts or other documents are not necessarily complete, and you should refer to the exhibits attached to the registration statement for copies of the actual contract or document. SEC filings are also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and information requirements of the Exchange Act and, as a result, we file periodic and current reports, proxy statements and other information with the SEC. We make our periodic reports and other information filed with or furnished to the SEC, available, free of charge, through our website as soon as reasonably practicable after those reports and other information are filed with or furnished to the SEC. Additionally, these periodic reports, proxy statements and other information are available for inspection and copying at the public reference room and website of the SEC referred to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maintain a website at the following address: </w:t>
      </w:r>
      <w:r>
        <w:rPr>
          <w:rFonts w:ascii="Times New Roman;Times;Serif" w:hAnsi="Times New Roman;Times;Serif"/>
          <w:b w:val="false"/>
          <w:i/>
          <w:caps w:val="false"/>
          <w:smallCaps w:val="false"/>
          <w:sz w:val="20"/>
        </w:rPr>
        <w:t>https://aptera.us</w:t>
      </w:r>
      <w:r>
        <w:rPr>
          <w:rFonts w:ascii="Times New Roman;Times;Serif" w:hAnsi="Times New Roman;Times;Serif"/>
          <w:b w:val="false"/>
          <w:i w:val="false"/>
          <w:caps w:val="false"/>
          <w:smallCaps w:val="false"/>
          <w:sz w:val="20"/>
        </w:rPr>
        <w:t>. The information contained on, or that can be accessed through, our website is not incorporated by reference into, and is not a part of, this prospectus. We also make available on or through our website certain reports and amendments to those reports that we file with or furnish to the SEC in accordance with the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In addition, we routinely post on the “Investors” page of our website news releases, announcements and other statements about our business and results of operations, some of which may contain information that may be deemed material to investors. Therefore, we encourage investors to monitor the “Investors” page of our website and review the information we post on that page.</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Sx_017"/>
      <w:bookmarkEnd w:id="18"/>
      <w:r>
        <w:rPr>
          <w:rFonts w:ascii="Times New Roman;Times;Serif" w:hAnsi="Times New Roman;Times;Serif"/>
          <w:b/>
          <w:i w:val="false"/>
          <w:caps/>
          <w:sz w:val="20"/>
        </w:rPr>
        <w:t>INCORPORATION OF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S-3 with the SEC under the Securities Act. This prospectus is part of the registration statement but the registration statement includes and incorporates by reference additional information and exhibits. 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Information that we file later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on March 30, 2026;</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periods ended </w:t>
            </w:r>
            <w:hyperlink r:id="rId4">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xml:space="preserve">, filed on May 13, 2026 and August 12, 2026, respectively;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t>
            </w:r>
            <w:hyperlink r:id="rId6">
              <w:r>
                <w:rPr>
                  <w:rStyle w:val="InternetLink"/>
                  <w:rFonts w:ascii="Times New Roman;Times;Serif" w:hAnsi="Times New Roman;Times;Serif"/>
                  <w:b w:val="false"/>
                  <w:i w:val="false"/>
                  <w:caps w:val="false"/>
                  <w:smallCaps w:val="false"/>
                  <w:sz w:val="20"/>
                </w:rPr>
                <w:t>January 26,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March 12,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April 14,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July 7,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July 13,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August 14,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August 20, 2026</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October 1, 2026</w:t>
              </w:r>
            </w:hyperlink>
            <w:r>
              <w:rPr>
                <w:rFonts w:ascii="Times New Roman;Times;Serif" w:hAnsi="Times New Roman;Times;Serif"/>
                <w:b w:val="false"/>
                <w:i w:val="false"/>
                <w:caps w:val="false"/>
                <w:smallCaps w:val="false"/>
                <w:sz w:val="20"/>
              </w:rPr>
              <w:t xml:space="preserve"> (other than any portions deemed furnished and not filed);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our Registration Statement on </w:t>
            </w:r>
            <w:hyperlink r:id="rId14">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September 30, 2025, including any amendments thereto or reports filed for the purposes of updating this description, including </w:t>
            </w:r>
            <w:hyperlink r:id="rId15">
              <w:r>
                <w:rPr>
                  <w:rStyle w:val="InternetLink"/>
                  <w:rFonts w:ascii="Times New Roman;Times;Serif" w:hAnsi="Times New Roman;Times;Serif"/>
                  <w:b w:val="false"/>
                  <w:i w:val="false"/>
                  <w:caps w:val="false"/>
                  <w:smallCaps w:val="false"/>
                  <w:sz w:val="20"/>
                </w:rPr>
                <w:t>Exhibit 4.12</w:t>
              </w:r>
            </w:hyperlink>
            <w:r>
              <w:rPr>
                <w:rFonts w:ascii="Times New Roman;Times;Serif" w:hAnsi="Times New Roman;Times;Serif"/>
                <w:b w:val="false"/>
                <w:i w:val="false"/>
                <w:caps w:val="false"/>
                <w:smallCaps w:val="false"/>
                <w:sz w:val="20"/>
              </w:rPr>
              <w:t xml:space="preserve"> to our Annual Report on Form 10-K for the year ended December 31, 2025, filed with the SEC on March 30, 2026.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all additional documents that we file with the SEC under the terms of Sections 13(a), 13(c), 14 or 15(d) of the Exchange Act, that are made after the initial filing date of the registration statement of which this prospectus is a part until the offering of the particular securities covered by a prospectus supplement or term sheet has been completed. We are not, however, incorporating, in each case, any documents or information that we are deemed to furnish and not file in accordance with SEC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and we will provide you with, a copy of these filings, at no cost, by contacting us 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5818 El Camino Real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Carlsbad, California 92008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(858) 371-3151</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under this prospectus until the registration statement of which it is a part and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$19,000,000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45920" cy="16548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645920" cy="165481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Controlled Equity Offering</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Sales Agreement with Cantor Fitzgerald &amp; Co. (“Cantor”), dated October 1, 2026 (the “Sales Agreement”) relating to shares of our Class B common stock, $0.0001 par value per share (“Class B common stock”), offered by this prospectus. In accordance with the terms of the Sales Agreement, from time to time we may offer and sell shares of our Class B common stock having an aggregate gross sales price of up to $19,000,000 to or through Cantor, acting as principal and/or the sole designated sales agent,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Class B common stock, if any, under this prospectus may be made in sales deemed to be an “at the market offering” as defined in Rule 415(a)(4) promulgated under the Securities Act of 1933, as amended (the “Securities Act”). Subject to the terms of the Sales Agreement, Cantor is not required to sell any specific number or dollar amounts of our Class B common stock but will use commercially reasonable efforts consistent with its normal trading and sales practices, on mutually agreed terms between Cantor and us. There is no current arrangement for funds to be received in any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will be entitled to compensation under the terms of the Sales Agreement at a commission rate equal to 3.0% of the gross proceeds from each sale of our Class B common stock. In connection with the sales of our Class B common stock on our behalf, Cantor will be deemed to be an “underwriter” within the meaning of the Securities Act and the compensation of Cantor will be deemed to be underwriting commissions or discounts. We have also agreed to provide indemnification and contributions to Cantor against certain liabilities, including liabilities under the Securities Act and the Securities Exchange Act of 1934, as amended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28, 2026, the aggregate market value of our outstanding common stock held by non-affiliates, or the public float, was approximately $58.4 million, which was calculated based on 23,648,868 shares of our outstanding Class A common stock and Class B common stock held by non-affiliates at a price of $2.47 per share, the closing price of our Class B common stock on August 21, 2026. Pursuant to General Instruction I.B.6 of Form S-3, in no event will we sell shares pursuant to this prospectus with a value of more than one-third of the aggregate market value of our common stock held by non-affiliates in any 12-month period, so long as the aggregate market value of our common stock held by non-affiliates is less than $75,000,000. During the 12 calendar months prior to, and including, the date of this prospectus, we have not sold any securities pursuant to General Instruction I.B.6 of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is listed on The Nasdaq Capital Market (“Nasdaq”) under the symbol “SEV.”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the last reported sale price of our Class B common stock on Nasdaq was $1.98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Class B common stock involves significant risks. See “Risk Factors” beginning on page 7 of this prospectus and the risk factors that are incorporated by reference into this prospectus from our filings made with the Securities and Exchange Commission (the “SEC”) pursuant to the Exchange Act for a discussion of the factors you should carefully consider before deciding to invest in our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our Class B common stock or determined if this prospectus is accurate, truthful or complete.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Cantor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jc w:val="center"/>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5615"/>
        <w:gridCol w:w="425"/>
      </w:tblGrid>
      <w:tr>
        <w:trPr/>
        <w:tc>
          <w:tcPr>
            <w:tcW w:w="561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5615" w:type="dxa"/>
            <w:tcBorders/>
            <w:shd w:fill="CCEEFF" w:val="clear"/>
            <w:vAlign w:val="center"/>
          </w:tcPr>
          <w:p>
            <w:pPr>
              <w:pStyle w:val="TableContents"/>
              <w:bidi w:val="0"/>
              <w:spacing w:before="0" w:after="283"/>
              <w:jc w:val="left"/>
              <w:rPr/>
            </w:pPr>
            <w:hyperlink w:anchor="px_001">
              <w:r>
                <w:rPr>
                  <w:rStyle w:val="InternetLink"/>
                  <w:rFonts w:ascii="Times New Roman;Times;Serif" w:hAnsi="Times New Roman;Times;Serif"/>
                  <w:b w:val="false"/>
                  <w:i w:val="false"/>
                  <w:caps w:val="false"/>
                  <w:smallCaps w:val="false"/>
                  <w:sz w:val="20"/>
                </w:rPr>
                <w:t>ABOUT THIS PROSPECTUS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615" w:type="dxa"/>
            <w:tcBorders/>
            <w:shd w:fill="FFFFFF" w:val="clear"/>
            <w:vAlign w:val="center"/>
          </w:tcPr>
          <w:p>
            <w:pPr>
              <w:pStyle w:val="TableContents"/>
              <w:bidi w:val="0"/>
              <w:spacing w:before="0" w:after="283"/>
              <w:jc w:val="left"/>
              <w:rPr/>
            </w:pPr>
            <w:hyperlink w:anchor="px_002">
              <w:r>
                <w:rPr>
                  <w:rStyle w:val="InternetLink"/>
                  <w:rFonts w:ascii="Times New Roman;Times;Serif" w:hAnsi="Times New Roman;Times;Serif"/>
                  <w:b w:val="false"/>
                  <w:i w:val="false"/>
                  <w:caps w:val="false"/>
                  <w:smallCaps w:val="false"/>
                  <w:sz w:val="20"/>
                </w:rPr>
                <w:t>DISCLOSURE REGARDING FORWARD-LOOKING STATEMENTS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615" w:type="dxa"/>
            <w:tcBorders/>
            <w:shd w:fill="CCEEFF" w:val="clear"/>
            <w:vAlign w:val="center"/>
          </w:tcPr>
          <w:p>
            <w:pPr>
              <w:pStyle w:val="TableContents"/>
              <w:bidi w:val="0"/>
              <w:spacing w:before="0" w:after="283"/>
              <w:jc w:val="left"/>
              <w:rPr/>
            </w:pPr>
            <w:hyperlink w:anchor="px_003">
              <w:r>
                <w:rPr>
                  <w:rStyle w:val="InternetLink"/>
                  <w:rFonts w:ascii="Times New Roman;Times;Serif" w:hAnsi="Times New Roman;Times;Serif"/>
                  <w:b w:val="false"/>
                  <w:i w:val="false"/>
                  <w:caps w:val="false"/>
                  <w:smallCaps w:val="false"/>
                  <w:sz w:val="20"/>
                </w:rPr>
                <w:t>PROSPECTUS SUMMARY</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615" w:type="dxa"/>
            <w:tcBorders/>
            <w:shd w:fill="FFFFFF" w:val="clear"/>
            <w:vAlign w:val="center"/>
          </w:tcPr>
          <w:p>
            <w:pPr>
              <w:pStyle w:val="TableContents"/>
              <w:bidi w:val="0"/>
              <w:spacing w:before="0" w:after="283"/>
              <w:jc w:val="left"/>
              <w:rPr/>
            </w:pPr>
            <w:hyperlink w:anchor="px_004">
              <w:r>
                <w:rPr>
                  <w:rStyle w:val="InternetLink"/>
                  <w:rFonts w:ascii="Times New Roman;Times;Serif" w:hAnsi="Times New Roman;Times;Serif"/>
                  <w:b w:val="false"/>
                  <w:i w:val="false"/>
                  <w:caps w:val="false"/>
                  <w:smallCaps w:val="false"/>
                  <w:sz w:val="20"/>
                </w:rPr>
                <w:t>THE OFFERING</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615" w:type="dxa"/>
            <w:tcBorders/>
            <w:shd w:fill="CCEEFF" w:val="clear"/>
            <w:vAlign w:val="center"/>
          </w:tcPr>
          <w:p>
            <w:pPr>
              <w:pStyle w:val="TableContents"/>
              <w:bidi w:val="0"/>
              <w:spacing w:before="0" w:after="283"/>
              <w:jc w:val="left"/>
              <w:rPr/>
            </w:pPr>
            <w:hyperlink w:anchor="px_005">
              <w:r>
                <w:rPr>
                  <w:rStyle w:val="InternetLink"/>
                  <w:rFonts w:ascii="Times New Roman;Times;Serif" w:hAnsi="Times New Roman;Times;Serif"/>
                  <w:b w:val="false"/>
                  <w:i w:val="false"/>
                  <w:caps w:val="false"/>
                  <w:smallCaps w:val="false"/>
                  <w:sz w:val="20"/>
                </w:rPr>
                <w:t>RISK FACTORS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5615" w:type="dxa"/>
            <w:tcBorders/>
            <w:shd w:fill="FFFFFF" w:val="clear"/>
            <w:vAlign w:val="center"/>
          </w:tcPr>
          <w:p>
            <w:pPr>
              <w:pStyle w:val="TableContents"/>
              <w:bidi w:val="0"/>
              <w:spacing w:before="0" w:after="283"/>
              <w:jc w:val="left"/>
              <w:rPr/>
            </w:pPr>
            <w:hyperlink w:anchor="px_006">
              <w:r>
                <w:rPr>
                  <w:rStyle w:val="InternetLink"/>
                  <w:rFonts w:ascii="Times New Roman;Times;Serif" w:hAnsi="Times New Roman;Times;Serif"/>
                  <w:b w:val="false"/>
                  <w:i w:val="false"/>
                  <w:caps w:val="false"/>
                  <w:smallCaps w:val="false"/>
                  <w:sz w:val="20"/>
                </w:rPr>
                <w:t>USE OF PROCEEDS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615" w:type="dxa"/>
            <w:tcBorders/>
            <w:shd w:fill="CCEEFF" w:val="clear"/>
            <w:vAlign w:val="center"/>
          </w:tcPr>
          <w:p>
            <w:pPr>
              <w:pStyle w:val="TableContents"/>
              <w:bidi w:val="0"/>
              <w:spacing w:before="0" w:after="283"/>
              <w:jc w:val="left"/>
              <w:rPr/>
            </w:pPr>
            <w:hyperlink w:anchor="px_007">
              <w:r>
                <w:rPr>
                  <w:rStyle w:val="InternetLink"/>
                  <w:rFonts w:ascii="Times New Roman;Times;Serif" w:hAnsi="Times New Roman;Times;Serif"/>
                  <w:b w:val="false"/>
                  <w:i w:val="false"/>
                  <w:caps w:val="false"/>
                  <w:smallCaps w:val="false"/>
                  <w:sz w:val="20"/>
                </w:rPr>
                <w:t>DILUTION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5615" w:type="dxa"/>
            <w:tcBorders/>
            <w:shd w:fill="FFFFFF" w:val="clear"/>
            <w:vAlign w:val="center"/>
          </w:tcPr>
          <w:p>
            <w:pPr>
              <w:pStyle w:val="TableContents"/>
              <w:bidi w:val="0"/>
              <w:spacing w:before="0" w:after="283"/>
              <w:jc w:val="left"/>
              <w:rPr/>
            </w:pPr>
            <w:hyperlink w:anchor="px_008">
              <w:r>
                <w:rPr>
                  <w:rStyle w:val="InternetLink"/>
                  <w:rFonts w:ascii="Times New Roman;Times;Serif" w:hAnsi="Times New Roman;Times;Serif"/>
                  <w:b w:val="false"/>
                  <w:i w:val="false"/>
                  <w:caps w:val="false"/>
                  <w:smallCaps w:val="false"/>
                  <w:sz w:val="20"/>
                </w:rPr>
                <w:t>DIVIDEND POLICY</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5615" w:type="dxa"/>
            <w:tcBorders/>
            <w:shd w:fill="CCEEFF" w:val="clear"/>
            <w:vAlign w:val="center"/>
          </w:tcPr>
          <w:p>
            <w:pPr>
              <w:pStyle w:val="TableContents"/>
              <w:bidi w:val="0"/>
              <w:spacing w:before="0" w:after="283"/>
              <w:jc w:val="left"/>
              <w:rPr/>
            </w:pPr>
            <w:hyperlink w:anchor="px_009">
              <w:r>
                <w:rPr>
                  <w:rStyle w:val="InternetLink"/>
                  <w:rFonts w:ascii="Times New Roman;Times;Serif" w:hAnsi="Times New Roman;Times;Serif"/>
                  <w:b w:val="false"/>
                  <w:i w:val="false"/>
                  <w:caps w:val="false"/>
                  <w:smallCaps w:val="false"/>
                  <w:sz w:val="20"/>
                </w:rPr>
                <w:t>PLAN OF DISTRIBUTION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5615" w:type="dxa"/>
            <w:tcBorders/>
            <w:shd w:fill="FFFFFF" w:val="clear"/>
            <w:vAlign w:val="center"/>
          </w:tcPr>
          <w:p>
            <w:pPr>
              <w:pStyle w:val="TableContents"/>
              <w:bidi w:val="0"/>
              <w:spacing w:before="0" w:after="283"/>
              <w:jc w:val="left"/>
              <w:rPr/>
            </w:pPr>
            <w:hyperlink w:anchor="px_010">
              <w:r>
                <w:rPr>
                  <w:rStyle w:val="InternetLink"/>
                  <w:rFonts w:ascii="Times New Roman;Times;Serif" w:hAnsi="Times New Roman;Times;Serif"/>
                  <w:b w:val="false"/>
                  <w:i w:val="false"/>
                  <w:caps w:val="false"/>
                  <w:smallCaps w:val="false"/>
                  <w:sz w:val="20"/>
                </w:rPr>
                <w:t>LEGAL MATTERS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5615" w:type="dxa"/>
            <w:tcBorders/>
            <w:shd w:fill="CCEEFF" w:val="clear"/>
            <w:vAlign w:val="center"/>
          </w:tcPr>
          <w:p>
            <w:pPr>
              <w:pStyle w:val="TableContents"/>
              <w:bidi w:val="0"/>
              <w:spacing w:before="0" w:after="283"/>
              <w:jc w:val="left"/>
              <w:rPr/>
            </w:pPr>
            <w:hyperlink w:anchor="px_011">
              <w:r>
                <w:rPr>
                  <w:rStyle w:val="InternetLink"/>
                  <w:rFonts w:ascii="Times New Roman;Times;Serif" w:hAnsi="Times New Roman;Times;Serif"/>
                  <w:b w:val="false"/>
                  <w:i w:val="false"/>
                  <w:caps w:val="false"/>
                  <w:smallCaps w:val="false"/>
                  <w:sz w:val="20"/>
                </w:rPr>
                <w:t>EXPERTS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5615" w:type="dxa"/>
            <w:tcBorders/>
            <w:shd w:fill="FFFFFF" w:val="clear"/>
            <w:vAlign w:val="center"/>
          </w:tcPr>
          <w:p>
            <w:pPr>
              <w:pStyle w:val="TableContents"/>
              <w:bidi w:val="0"/>
              <w:spacing w:before="0" w:after="283"/>
              <w:jc w:val="left"/>
              <w:rPr/>
            </w:pPr>
            <w:hyperlink w:anchor="px_012">
              <w:r>
                <w:rPr>
                  <w:rStyle w:val="InternetLink"/>
                  <w:rFonts w:ascii="Times New Roman;Times;Serif" w:hAnsi="Times New Roman;Times;Serif"/>
                  <w:b w:val="false"/>
                  <w:i w:val="false"/>
                  <w:caps w:val="false"/>
                  <w:smallCaps w:val="false"/>
                  <w:sz w:val="20"/>
                </w:rPr>
                <w:t>WHERE YOU CAN FIND MORE INFORMATION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5615" w:type="dxa"/>
            <w:tcBorders/>
            <w:shd w:fill="CCEEFF" w:val="clear"/>
            <w:vAlign w:val="center"/>
          </w:tcPr>
          <w:p>
            <w:pPr>
              <w:pStyle w:val="TableContents"/>
              <w:bidi w:val="0"/>
              <w:spacing w:before="0" w:after="283"/>
              <w:jc w:val="left"/>
              <w:rPr/>
            </w:pPr>
            <w:hyperlink w:anchor="px_013">
              <w:r>
                <w:rPr>
                  <w:rStyle w:val="InternetLink"/>
                  <w:rFonts w:ascii="Times New Roman;Times;Serif" w:hAnsi="Times New Roman;Times;Serif"/>
                  <w:b w:val="false"/>
                  <w:i w:val="false"/>
                  <w:caps w:val="false"/>
                  <w:smallCaps w:val="false"/>
                  <w:sz w:val="20"/>
                </w:rPr>
                <w:t>INCORPORATION OF DOCUMENTS BY REFERENCE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px_001"/>
      <w:bookmarkEnd w:id="19"/>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using a “shelf” registration process. Under this shelf registration process, we may from time to time sell shares of our Class B common stock having an aggregate offering price of up to $19,000,000 under this prospectus at prices and on terms to be determined by market conditions at the time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investing in our Class B common stock offered by this prospectus, we urge you to carefully read this prospectus, together with the information incorporated by reference as described under “Where You Can Find More Information” and “Incorporation of Documents by Reference” in this prospectus. These documents contain important information that you should consider when making your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information contained in this prospectus differs from or conflicts with the information contained in any document incorporated by reference, the information in this prospectus will control. If any statement in one of these documents is inconsistent with a statement in another document having a later date – for example, a document incorporated by reference into this prospectus – 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deciding whether or not to invest in our Class B common stock, you should rely only on the information contained in, or incorporated by reference into, this prospectus and any related free writing prospectus that we have authorized for use in connection with this offering. Neither we nor Cantor has authorized anyone to provide you with different information or to make any representation other than those contained in, or incorporated by reference into, this prospectus and any related free writing prospectus. If anyone provides you with different or inconsistent information or representation, you should not rely on them. This prospectus, and any accompanying supplement to this prospectus, does not constitute an offer to sell or the solicitation of an offer to buy our Class B common stock in any circumstances in which such offer or solicitation is unlawful. You should assume that the information appearing in this prospectus and any related free writing prospectus and the documents incorporated by reference is accurate only as of their respective dates, regardless of the time of delivery of this prospectus or any related free writing prospectus or any sale of our Class B common stock. Our business, financial condition, results of operations and prospects may have changed materially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into this prospectus was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business, financial condition, results of operations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consider any information in this prospectus to be investment, legal or tax advice. You should consult your own counsel, accountants and other advisers for legal, tax, business, financial and related advice regarding the purchase of our Class B common stock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requires otherwise, references in this prospectus to “Aptera,” the “Company,” the “Registrant,” “we,” “us” and “our” refer to Aptera Motors Corp. together with its consolidated subsidiaries.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px_002"/>
      <w:bookmarkEnd w:id="20"/>
      <w:r>
        <w:rPr>
          <w:rFonts w:ascii="Times New Roman;Times;Serif" w:hAnsi="Times New Roman;Times;Serif"/>
          <w:b/>
          <w:i w:val="false"/>
          <w:caps w:val="false"/>
          <w:smallCaps w:val="false"/>
          <w:sz w:val="20"/>
        </w:rPr>
        <w:t>DISCLOSURE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historical information, this prospectus and the documents incorporated herein by reference contain forward-looking statements within the meaning of Section 27A of the Securities Act and the Exchange Act.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performance, including our expectations regarding our revenue, cost of revenue, gross profit, operating expenses including changes in research and development, sales and marketing, and general and administrative expenses (including any components of the foregoing), and our ability to maintain future profitability;</w:t>
            </w:r>
          </w:p>
        </w:tc>
      </w:tr>
    </w:tbl>
    <w:p>
      <w:pPr>
        <w:pStyle w:val="TextBody"/>
        <w:bidi w:val="0"/>
        <w:spacing w:before="0" w:after="0"/>
        <w:ind w:left="720" w:right="0" w:hanging="36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raise capital to fund our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170"/>
        <w:gridCol w:w="3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w:t>
            </w:r>
          </w:p>
        </w:tc>
      </w:tr>
    </w:tbl>
    <w:p>
      <w:pPr>
        <w:pStyle w:val="TextBody"/>
        <w:bidi w:val="0"/>
        <w:spacing w:before="0" w:after="0"/>
        <w:ind w:left="720" w:right="0" w:hanging="36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plan and our ability to effectively manage our growth;</w:t>
            </w:r>
          </w:p>
        </w:tc>
      </w:tr>
    </w:tbl>
    <w:p>
      <w:pPr>
        <w:pStyle w:val="TextBody"/>
        <w:bidi w:val="0"/>
        <w:spacing w:before="0" w:after="0"/>
        <w:ind w:left="720" w:right="0" w:hanging="36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with well-established competitors and new entrants;</w:t>
            </w:r>
          </w:p>
        </w:tc>
      </w:tr>
    </w:tbl>
    <w:p>
      <w:pPr>
        <w:pStyle w:val="TextBody"/>
        <w:bidi w:val="0"/>
        <w:spacing w:before="0" w:after="0"/>
        <w:ind w:left="720" w:right="0" w:hanging="360"/>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navigate the regulatory environment applicable to our operations and industry;</w:t>
            </w:r>
          </w:p>
        </w:tc>
      </w:tr>
    </w:tbl>
    <w:p>
      <w:pPr>
        <w:pStyle w:val="TextBody"/>
        <w:bidi w:val="0"/>
        <w:spacing w:before="0" w:after="0"/>
        <w:ind w:left="720" w:right="0" w:hanging="36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begin manufacturing our vehicles at scale;</w:t>
            </w:r>
          </w:p>
        </w:tc>
      </w:tr>
    </w:tbl>
    <w:p>
      <w:pPr>
        <w:pStyle w:val="TextBody"/>
        <w:bidi w:val="0"/>
        <w:spacing w:before="0" w:after="0"/>
        <w:ind w:left="720" w:right="0" w:hanging="36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qualified employees and key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170"/>
        <w:gridCol w:w="2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strategy;</w:t>
            </w:r>
          </w:p>
        </w:tc>
      </w:tr>
    </w:tbl>
    <w:p>
      <w:pPr>
        <w:pStyle w:val="TextBody"/>
        <w:bidi w:val="0"/>
        <w:spacing w:before="0" w:after="0"/>
        <w:ind w:left="720" w:right="0" w:hanging="36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beliefs and objectives for future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protect, and enhance our brand and intellectual property;</w:t>
            </w:r>
          </w:p>
        </w:tc>
      </w:tr>
    </w:tbl>
    <w:p>
      <w:pPr>
        <w:pStyle w:val="TextBody"/>
        <w:bidi w:val="0"/>
        <w:spacing w:before="0" w:after="0"/>
        <w:ind w:left="720" w:right="0" w:hanging="360"/>
        <w:jc w:val="both"/>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stay in compliance with laws and regulations that currently apply or become applicable to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75"/>
        <w:gridCol w:w="170"/>
        <w:gridCol w:w="5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economic and industry trends, projected growth, or trend analysis; </w:t>
            </w:r>
          </w:p>
        </w:tc>
      </w:tr>
    </w:tbl>
    <w:p>
      <w:pPr>
        <w:pStyle w:val="TextBody"/>
        <w:bidi w:val="0"/>
        <w:spacing w:before="0" w:after="0"/>
        <w:ind w:left="720" w:right="0" w:hanging="36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75"/>
        <w:gridCol w:w="170"/>
        <w:gridCol w:w="4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expenses associated with being a public company;</w:t>
            </w:r>
          </w:p>
        </w:tc>
      </w:tr>
    </w:tbl>
    <w:p>
      <w:pPr>
        <w:pStyle w:val="TextBody"/>
        <w:bidi w:val="0"/>
        <w:spacing w:before="0" w:after="0"/>
        <w:ind w:left="720" w:right="0" w:hanging="0"/>
        <w:jc w:val="both"/>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75"/>
        <w:gridCol w:w="170"/>
        <w:gridCol w:w="8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intended use of proceeds from sales of shares of our Class B common stock under this prospectus;</w:t>
            </w:r>
          </w:p>
        </w:tc>
      </w:tr>
    </w:tbl>
    <w:p>
      <w:pPr>
        <w:pStyle w:val="TextBody"/>
        <w:bidi w:val="0"/>
        <w:spacing w:before="0" w:after="0"/>
        <w:ind w:left="720" w:right="0" w:hanging="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the potential dilutive effect of shares of our Class B common stock sold pursuant to the Sales Agreement; </w:t>
            </w:r>
          </w:p>
        </w:tc>
      </w:tr>
    </w:tbl>
    <w:p>
      <w:pPr>
        <w:pStyle w:val="TextBody"/>
        <w:bidi w:val="0"/>
        <w:spacing w:before="0" w:after="0"/>
        <w:ind w:left="720" w:right="0" w:hanging="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of the trading price of our Class B common stock;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factors listed under the heading “Risk Factors” in our most recent Annual Report on Form 10-K, our most recent Quarterly Reports on Form 10-Q, and other reports that we file with the SEC from time to time.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foregoing list may not contain all of the forward-looking statements made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refer to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this prospectus and the documents we incorporate by reference for a discussion of important factors that may cause our actual results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and the documents we incorporate by reference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21" w:name="px_003"/>
      <w:bookmarkEnd w:id="21"/>
      <w:r>
        <w:rPr>
          <w:rFonts w:ascii="Times New Roman;Times;Serif" w:hAnsi="Times New Roman;Times;Serif"/>
          <w:b/>
          <w:i w:val="false"/>
          <w:caps w:val="false"/>
          <w:smallCaps w:val="false"/>
          <w:sz w:val="20"/>
          <w:bdr w:val="single" w:sz="8" w:space="1" w:color="000000"/>
        </w:rPr>
        <w:t>PROSPECTUS SUMMARY</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This summary highlights information contained elsewhere in this prospectus and the documents incorporated by reference herein. This summary does not contain all of the information that you should consider before deciding to invest in our securities. You should read this entire prospectus carefully, including the section entitled “Risk Factors” beginning on page 7, our consolidated financial statements and the related notes and the other information incorporated by reference into this prospectus before making an investment decision.</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Company 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Delaware public benefit corporation and development stage company focused on the development and commercialization of solar electric vehicles (SEVs). Our flagship vehicle, the Aptera, is a three-wheeled, two-passenger vehicle designed for efficiency and sustainability. We believe Aptera’s unique design, incorporating solar charging capabilities and aerodynamic efficiency, will offer a compelling alternative to conventional vehicles. We completed a direct listing of our Class B common stock on Nasdaq in October 2025.</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Our Business Model</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intend to generate revenue primarily through the sale of our SEVs. Our current focus is on completing the development, validation, and commencing production of the Aptera. We have not commenced production or generated any revenue from the sale of our products. During the past three years, we engaged with strategic partners to supply validated production parts, and we are currently executing our validation vehicle program. We plan to offer various Aptera models with different features and price points. We may also explore other revenue streams in the future, such as providing charging infrastructure or developing related technologies.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The Aptera</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Aptera is designed to be a highly efficient vehicle, minimizing energy consumption through its aerodynamic design and lightweight construction. Its integrated solar panels are intended to supplement battery charging, potentially allowing drivers to travel significant distances using only solar power. The Aptera is designed to be a practical and sustainable transportation solution for daily commuting and other driving needs.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Competitive Advantages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believe the Aptera offers several competitive advantages, including: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038" w:type="dxa"/>
        <w:jc w:val="left"/>
        <w:tblInd w:w="0" w:type="dxa"/>
        <w:tblLayout w:type="fixed"/>
        <w:tblCellMar>
          <w:top w:w="0" w:type="dxa"/>
          <w:left w:w="0" w:type="dxa"/>
          <w:bottom w:w="0" w:type="dxa"/>
          <w:right w:w="0" w:type="dxa"/>
        </w:tblCellMar>
      </w:tblPr>
      <w:tblGrid>
        <w:gridCol w:w="38"/>
        <w:gridCol w:w="170"/>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High Efficiency:</w:t>
            </w:r>
            <w:r>
              <w:rPr>
                <w:rFonts w:ascii="Times New Roman;Times;Serif" w:hAnsi="Times New Roman;Times;Serif"/>
                <w:b w:val="false"/>
                <w:i w:val="false"/>
                <w:caps w:val="false"/>
                <w:smallCaps w:val="false"/>
                <w:sz w:val="20"/>
              </w:rPr>
              <w:t xml:space="preserve"> The Aptera’s aerodynamic design and lightweight construction contribute to its high energy efficiency.</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Solar Charging:</w:t>
            </w:r>
            <w:r>
              <w:rPr>
                <w:rFonts w:ascii="Times New Roman;Times;Serif" w:hAnsi="Times New Roman;Times;Serif"/>
                <w:b w:val="false"/>
                <w:i w:val="false"/>
                <w:caps w:val="false"/>
                <w:smallCaps w:val="false"/>
                <w:sz w:val="20"/>
              </w:rPr>
              <w:t xml:space="preserve"> Integrated solar panels provide supplemental charging, potentially reducing reliance on traditional charging infrastructure.</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8868" w:type="dxa"/>
        <w:jc w:val="left"/>
        <w:tblInd w:w="0" w:type="dxa"/>
        <w:tblLayout w:type="fixed"/>
        <w:tblCellMar>
          <w:top w:w="0" w:type="dxa"/>
          <w:left w:w="0" w:type="dxa"/>
          <w:bottom w:w="0" w:type="dxa"/>
          <w:right w:w="0" w:type="dxa"/>
        </w:tblCellMar>
      </w:tblPr>
      <w:tblGrid>
        <w:gridCol w:w="38"/>
        <w:gridCol w:w="17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Unique Design:</w:t>
            </w:r>
            <w:r>
              <w:rPr>
                <w:rFonts w:ascii="Times New Roman;Times;Serif" w:hAnsi="Times New Roman;Times;Serif"/>
                <w:b w:val="false"/>
                <w:i w:val="false"/>
                <w:caps w:val="false"/>
                <w:smallCaps w:val="false"/>
                <w:sz w:val="20"/>
              </w:rPr>
              <w:t xml:space="preserve"> The Aptera’s distinctive three-wheeled design differentiates it from conventional vehicles.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Sustainability:</w:t>
            </w:r>
            <w:r>
              <w:rPr>
                <w:rFonts w:ascii="Times New Roman;Times;Serif" w:hAnsi="Times New Roman;Times;Serif"/>
                <w:b w:val="false"/>
                <w:i w:val="false"/>
                <w:caps w:val="false"/>
                <w:smallCaps w:val="false"/>
                <w:sz w:val="20"/>
              </w:rPr>
              <w:t xml:space="preserve"> The Aptera’s electric powertrain and solar charging capabilities contribute to a reduced environmental footprint.</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Challenges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face numerous challenges in developing and commercializing the Aptera, including: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Production:</w:t>
            </w:r>
            <w:r>
              <w:rPr>
                <w:rFonts w:ascii="Times New Roman;Times;Serif" w:hAnsi="Times New Roman;Times;Serif"/>
                <w:b w:val="false"/>
                <w:i w:val="false"/>
                <w:caps w:val="false"/>
                <w:smallCaps w:val="false"/>
                <w:sz w:val="20"/>
              </w:rPr>
              <w:t xml:space="preserve"> We have not yet commenced commercial production of the Aptera, and face risks associated with scaling production.</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Competition:</w:t>
            </w:r>
            <w:r>
              <w:rPr>
                <w:rFonts w:ascii="Times New Roman;Times;Serif" w:hAnsi="Times New Roman;Times;Serif"/>
                <w:b w:val="false"/>
                <w:i w:val="false"/>
                <w:caps w:val="false"/>
                <w:smallCaps w:val="false"/>
                <w:sz w:val="20"/>
              </w:rPr>
              <w:t xml:space="preserve"> The passenger vehicle industry is highly competitive, and we face competition from established automakers and other electric vehicle manufacturers.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Technology:</w:t>
            </w:r>
            <w:r>
              <w:rPr>
                <w:rFonts w:ascii="Times New Roman;Times;Serif" w:hAnsi="Times New Roman;Times;Serif"/>
                <w:b w:val="false"/>
                <w:i w:val="false"/>
                <w:caps w:val="false"/>
                <w:smallCaps w:val="false"/>
                <w:sz w:val="20"/>
              </w:rPr>
              <w:t xml:space="preserve"> The development of advanced technologies, such as solar charging and battery systems, involves technical risks.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9543" w:type="dxa"/>
        <w:jc w:val="left"/>
        <w:tblInd w:w="0" w:type="dxa"/>
        <w:tblLayout w:type="fixed"/>
        <w:tblCellMar>
          <w:top w:w="0" w:type="dxa"/>
          <w:left w:w="0" w:type="dxa"/>
          <w:bottom w:w="0" w:type="dxa"/>
          <w:right w:w="0" w:type="dxa"/>
        </w:tblCellMar>
      </w:tblPr>
      <w:tblGrid>
        <w:gridCol w:w="38"/>
        <w:gridCol w:w="17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Funding:</w:t>
            </w:r>
            <w:r>
              <w:rPr>
                <w:rFonts w:ascii="Times New Roman;Times;Serif" w:hAnsi="Times New Roman;Times;Serif"/>
                <w:b w:val="false"/>
                <w:i w:val="false"/>
                <w:caps w:val="false"/>
                <w:smallCaps w:val="false"/>
                <w:sz w:val="20"/>
              </w:rPr>
              <w:t xml:space="preserve"> We will require significant additional capital to fund our operations and achieve our business objectives.</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Recent Developments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achieved several key operational and regulatory milestones, including the following: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Validation Vehicles:</w:t>
            </w:r>
            <w:r>
              <w:rPr>
                <w:rFonts w:ascii="Times New Roman;Times;Serif" w:hAnsi="Times New Roman;Times;Serif"/>
                <w:b w:val="false"/>
                <w:i w:val="false"/>
                <w:caps w:val="false"/>
                <w:smallCaps w:val="false"/>
                <w:sz w:val="20"/>
              </w:rPr>
              <w:t xml:space="preserve"> In May 2026, we drove the first five validation vehicles off our newly established low-volume validation assembly line at our Carlsbad facility.</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Solar Performance:</w:t>
            </w:r>
            <w:r>
              <w:rPr>
                <w:rFonts w:ascii="Times New Roman;Times;Serif" w:hAnsi="Times New Roman;Times;Serif"/>
                <w:b w:val="false"/>
                <w:i w:val="false"/>
                <w:caps w:val="false"/>
                <w:smallCaps w:val="false"/>
                <w:sz w:val="20"/>
              </w:rPr>
              <w:t xml:space="preserve"> In June 2026, during real-world validation testing, our solar electric vehicle achieved more than 4 kilowatt-hours of daily solar generation, exceeding our internal solar charging targets.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EPA Certification:</w:t>
            </w:r>
            <w:r>
              <w:rPr>
                <w:rFonts w:ascii="Times New Roman;Times;Serif" w:hAnsi="Times New Roman;Times;Serif"/>
                <w:b w:val="false"/>
                <w:i w:val="false"/>
                <w:caps w:val="false"/>
                <w:smallCaps w:val="false"/>
                <w:sz w:val="20"/>
              </w:rPr>
              <w:t xml:space="preserve"> On June 18, 2026, we received a Certificate of Conformity from the U.S. Environmental Protection Agency for the 2026 Aptera Launch Edition, one of the two primary federal certifications required before a vehicle can be legally sold in the United States. The remaining federal requirement before we can begin customer deliveries is compliance with the Federal Motor Vehicle Safety Standards using vehicles built on our low-volume validation assembly line.</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Capital Raises: </w:t>
            </w:r>
            <w:r>
              <w:rPr>
                <w:rFonts w:ascii="Times New Roman;Times;Serif" w:hAnsi="Times New Roman;Times;Serif"/>
                <w:b w:val="false"/>
                <w:i w:val="false"/>
                <w:caps w:val="false"/>
                <w:smallCaps w:val="false"/>
                <w:sz w:val="20"/>
              </w:rPr>
              <w:t>We have pursued multiple capital-raising strategies over the past year. In October 2025, we established an equity line of credit, which we drew on between mid-November 2025 and June 2026 to raise approximately $4.3 million. During the first quarter of 2026, we raised roughly $17.1 million in gross proceeds through a $9.0 million follow-on public offering in January 2026 and $8.1 million from warrant exercises, including a March 2026 warrant inducement transaction. On July 13, 2026, we closed another warrant inducement transaction, generating approximately $6.0 million in gross cash proceeds.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Launch Strategic Partnership</w:t>
            </w:r>
            <w:r>
              <w:rPr>
                <w:rFonts w:ascii="Times New Roman;Times;Serif" w:hAnsi="Times New Roman;Times;Serif"/>
                <w:b w:val="false"/>
                <w:i w:val="false"/>
                <w:caps w:val="false"/>
                <w:smallCaps w:val="false"/>
                <w:sz w:val="20"/>
              </w:rPr>
              <w:t>: On August 14, 2026, we entered into a Strategic Partnership Agreement with Shanghai Launch Automotive Technology Co., Ltd. (“Launch”) for manufacturing and contract engineering support, as described in work orders agreed upon by the parties from time to time. In consideration of Launch’s services, we agreed to pay Launch up to RMB 300,000,000, consisting of (i) two-thirds of each approved work order invoice payable in cash, up to RMB 200,000,000 in the aggregate, and (ii) one-third of each approved work order invoice payable through the issuance of warrants to purchase shares of our Class B common stock, up to RMB 100,000,000 in the aggregate. On the effective date of the agreement, we issued to Launch 3,369,629 warrants worth RMB 50,000,000, which are not exercisable upon issuance and become exercisable only as and to the extent they are credited against invoices approved by us.</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Revised Capital Plan:</w:t>
            </w:r>
            <w:r>
              <w:rPr>
                <w:sz w:val="20"/>
              </w:rPr>
              <w:t xml:space="preserve"> On October 1, 2026, we announced revised capital requirements, estimating approximately $25 million to reach start of production (down from $40 to $45 million previously estimated) and approximately $115 million for our full plan through high-volume production (down from $180 to $205 million previously estimated). These reductions primarily reflect anticipated benefits of our strategic partnership with Launch, including design-for-manufacturing refinements, expected access to Launch’s international supplier network, and a rebuilt bill of materials. We plan to begin building our first 40 production vehicles by the end of 2026 and to begin customer deliveries in early 2027, subject to timely financing.</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Aptera Motors Corp. was formed on March 4, 2019, under the laws of the state of Delaware, and is a public benefit corporation in Delaware. Our headquarters are located in Carlsbad, California. Our website address is www.aptera.us. The information contained on, or that can be accessed through, our website is not incorporated by reference into, and is not a part of, this prospectus. Investors should not rely on any such information in deciding whether to purchase our securities.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Capital Structure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two classes of authorized common stock - Class A common stock and Class B common stock. The rights of the holders of Class A common stock and Class B common stock are identical, except that our Class B common stock is non-voting and is not entitled to any votes on any matter that is submitted to a vote of our stockholders, except as required by Delaware law. Each share of Class A common stock is entitled to one vote and is convertible at any time into one share of Class B common stock. The Class B common stock has no voting rights, except as required by Delaware General Corporation Law (“DGCL”). However, upon and following the Final Conversion Date, defined as the date that no shares of Class A common stock remain outstanding, holders of Class B common stock will be entitled to one vote per share. 20,000,000 shares of Preferred Stock may be issued from time to time in one or more series by a resolution of the Board of Directors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series. See “</w:t>
      </w:r>
      <w:r>
        <w:rPr>
          <w:rFonts w:ascii="Times New Roman;Times;Serif" w:hAnsi="Times New Roman;Times;Serif"/>
          <w:b w:val="false"/>
          <w:i/>
          <w:caps w:val="false"/>
          <w:smallCaps w:val="false"/>
          <w:sz w:val="20"/>
          <w:bdr w:val="single" w:sz="8" w:space="1" w:color="000000"/>
        </w:rPr>
        <w:t>Description of Capital Stock - Common Stock - Voting Rights” and “Description of Capital Stock - Preferred Stock</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Channels for Disclosure of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intend to announce material information to the public through filings with the SEC, the investor relations page on our website (www.aptera.us), press releases, public conference calls, public webcasts, and our social media pages. The information contained on, or that can be accessed through, our website is not incorporated by reference into, and is not a part of, this prospectus. Investors should not rely on any such information in deciding whether to purchase our securities.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information disclosed by the foregoing channels could be deemed to be material information. As such, we encourage investors, the media, and others to follow the channels listed above and to review the information disclosed through such channels.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Any updates to the list of disclosure channels through which we will announce information will be posted on the investor relations page on our website.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an Emerging Growth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company with less than $1.235 billion in revenue during our most recently completed fiscal year, we qualify as an “emerging growth company” as defined in Section 2(a) of the Securities Act as modified by the Jumpstart Our Business Startups Act of 2012, or the JOBS Act. As an emerging growth company, we may take advantage of specified reduced disclosure and other requirements that are otherwise applicable, in general, to public companies that are not emerging growth companies. These provisions include, but are not limited to:</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permitted to present only two years of audited financial statements and only two years of related Management’s Discussion and Analysis of Financial Condition and Results of Operations;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compliance with the auditor attestation requirement on the effectiveness of our internal control over financial reporting pursuant to the Sarbanes-Oxley Act of 2002;</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requirement that critical audit matters be discussed in our independent auditor’s reports on our audited financial statements or any other requirements that may be adopted by the Public Company Accounting Oversight Board unless the SEC determines that the application of such requirements to emerging growth companies is in the public interest;</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about our executive compensation arrangements;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to obtain a non-binding advisory vote on executive compensation or a stockholder approval of any golden parachute arrangements; and</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tbl>
      <w:tblPr>
        <w:tblW w:w="7135" w:type="dxa"/>
        <w:jc w:val="left"/>
        <w:tblInd w:w="0" w:type="dxa"/>
        <w:tblLayout w:type="fixed"/>
        <w:tblCellMar>
          <w:top w:w="0" w:type="dxa"/>
          <w:left w:w="0" w:type="dxa"/>
          <w:bottom w:w="0" w:type="dxa"/>
          <w:right w:w="0" w:type="dxa"/>
        </w:tblCellMar>
      </w:tblPr>
      <w:tblGrid>
        <w:gridCol w:w="75"/>
        <w:gridCol w:w="170"/>
        <w:gridCol w:w="68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extended transition periods for complying with new or revised accounting standards.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in any three-year period, more than $1.0 billion in non-convertible debt securities; and (4) the last day of the fiscal year ending after the fifth anniversary of the date of our first public equity sale.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take advantage of these exemptions until such time as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that have adopted the new or revised accounting standards. It is possible that some investors will find our Class B common stock less attractive as a result, which may result in a less active trading market for our Class B common stock and higher volatility in the stock price of our Class B common stock.</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 Smaller Reporting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also a “smaller reporting company” as defined in Rule 12b-2 promulgated under the Exchange Act, meaning that our annual revenue was less than $100.0 million during the most recently completed fiscal year and the market value of our Class B common stock held by non-affiliates was less than $700.0 million measured on the last business day of our second fiscal quarter. Accordingly, we may provide certain reduced disclosures available to smaller reporting companies, and the information that we provide to our stockholders may be different than information you might receive from other public reporting companies.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will qualify as a smaller reporting company until the fiscal year following the determination that the market value of our stock held by non-affiliates is more than $250 million measured on the last business day of our second fiscal quarter, or if our annual revenues are less than $100 million during the most recently completed fiscal year, until the fiscal year following the determination that the market value of our stock held by non-affiliates is more than $700 million measured on the last business day of our second fiscal quarter.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elected to take advantage of certain of the reduced disclosure obligations regarding executive compensation in this prospectus and may elect to take advantage of other reduced reporting requirements in future filings with the SEC. As a result, the information that we provide to our stockholders may be different from the information you receive from other public reporting companies.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Public Benefit Corporation Status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demonstration of our long-term commitment to promote solar mobility and to work towards positively impacting the communities in which we operate, we are treated as a public benefit corporation under Delaware law. As provided in the Amended &amp; Restated Certificate of Incorporation (our “Amended Charter”), the public benefits that we promote, and pursuant to which we manage our Company, are to break the chains of energy dependence by championing solar mobility-liberating communities, restoring sustainability, and forging a future where power belongs to the people. Being a public benefit corporation underscores our commitment to our purpose and our stakeholders, including consumers and customers, communities, and stockholders. See the section titled “</w:t>
      </w:r>
      <w:r>
        <w:rPr>
          <w:rFonts w:ascii="Times New Roman;Times;Serif" w:hAnsi="Times New Roman;Times;Serif"/>
          <w:b w:val="false"/>
          <w:i/>
          <w:caps w:val="false"/>
          <w:smallCaps w:val="false"/>
          <w:sz w:val="20"/>
          <w:bdr w:val="single" w:sz="8" w:space="1" w:color="000000"/>
        </w:rPr>
        <w:t>Description of Capital Stock-Public Benefit Corporation Status</w:t>
      </w:r>
      <w:r>
        <w:rPr>
          <w:rFonts w:ascii="Times New Roman;Times;Serif" w:hAnsi="Times New Roman;Times;Serif"/>
          <w:b w:val="false"/>
          <w:i w:val="false"/>
          <w:caps w:val="false"/>
          <w:smallCaps w:val="false"/>
          <w:sz w:val="20"/>
          <w:bdr w:val="single" w:sz="8" w:space="1" w:color="000000"/>
        </w:rPr>
        <w:t>” for additional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Nasdaq Listing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Class B common stock is listed on Nasdaq under the symbol “SEV.”</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px_004"/>
      <w:bookmarkEnd w:id="22"/>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9"/>
        <w:gridCol w:w="60"/>
        <w:gridCol w:w="8616"/>
      </w:tblGrid>
      <w:tr>
        <w:trPr/>
        <w:tc>
          <w:tcPr>
            <w:tcW w:w="1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a Delaware corporation.</w:t>
            </w:r>
          </w:p>
        </w:tc>
      </w:tr>
      <w:tr>
        <w:trPr/>
        <w:tc>
          <w:tcPr>
            <w:tcW w:w="15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 offered by 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Class B common stock having an aggregate gross sales price of up to $19,000,000.</w:t>
            </w:r>
          </w:p>
        </w:tc>
      </w:tr>
      <w:tr>
        <w:trPr/>
        <w:tc>
          <w:tcPr>
            <w:tcW w:w="15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 to be outstanding following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38,545,447 shares of Class B common stock, including the sale of 9,595,959 shares of our Class B common stock, in this offering assuming the sale of $19,000,000 of shares of our Class B common stock in this offering at an assumed offering price of $1.98 per share, which was the last reported sale price of our Class B common stock on Nasdaq on September 28, 2026. The actual number of shares of our Class B common stock issued will vary depending on how many shares of our Class B common stock we choose to sell and the sale prices at which such sales occur.</w:t>
            </w:r>
          </w:p>
        </w:tc>
      </w:tr>
      <w:tr>
        <w:trPr/>
        <w:tc>
          <w:tcPr>
            <w:tcW w:w="15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of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Class B common stock, if any, will be made from time to time in sales deemed to be an “at the market offering” as defined in Rule 415 promulgated under the Securities Act to or through Cantor acting as the principal and/or the sole designated sales agent. Cantor will use commercially reasonable efforts to sell on our behalf all of the Class B common stock requested to be sold by us, consistent with its normal trading and sales practices. See “Plan of Distribution” beginning on page 11 of this prospectus.</w:t>
            </w:r>
          </w:p>
        </w:tc>
      </w:tr>
      <w:tr>
        <w:trPr/>
        <w:tc>
          <w:tcPr>
            <w:tcW w:w="15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use the net proceeds from the sale of shares of our Class B common stock, if any, for general corporate purposes, ongoing product validation and manufacturing readiness activities, including vehicle validation testing, advancement of design-for-manufacturability and production planning efforts, initiation of production supplier engagements, and commencement of long-lead tooling in support of our production plans. Our management will retain broad discretion over the allocation of the net proceeds from the sale of the shares of our Class B common stock offered by this prospectus. See “Use of Proceeds” beginning on page 9 of this prospectus. </w:t>
            </w:r>
          </w:p>
        </w:tc>
      </w:tr>
      <w:tr>
        <w:trPr/>
        <w:tc>
          <w:tcPr>
            <w:tcW w:w="15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“Risk Factors” beginning on page 7 of this prospectus and in the documents incorporated herein by reference for a discussion of certain factors you should carefully consider before deciding to invest in shares of our Class B common stock.</w:t>
            </w:r>
          </w:p>
        </w:tc>
      </w:tr>
      <w:tr>
        <w:trPr/>
        <w:tc>
          <w:tcPr>
            <w:tcW w:w="15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is listed on Nasdaq under the symbol “SEV.”</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Class B common stock expected to be outstanding immediately after this offering is based on 28,949,488 shares of our Class B common stock outstanding as of September 28, 2026, and excludes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7,027,668 shares of Class B common stock issuable upon the exercise of outstanding options at a weighted average exercise price of $14.39;</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506,531 shares of Class B common stock issuable upon the vesting of outstanding restricted stock units;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11,195,966 shares of Class B common stock issuable upon the exercise of outstanding warrants at a weighted average exercise price of $3.46 per share, including 3,369,629 shares issuable upon exercise of warrants that become exercisable only as and to the extent credited against invoices approved by us under our Strategic Partnership Agreement;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10,083,691 shares of Class B common stock available for future issuance under our 2025 Omnibus Equity Incentive Plan;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3,841,846 shares of Class B common stock issuable pursuant to our Share Purchase Agreement with New Circle Principal Investments LLC, dated October 13, 2025 (the “Equity Line of Credit”).</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px_005"/>
      <w:bookmarkEnd w:id="23"/>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Class B common stock involves a high degree of risk. Before deciding to invest in our Class B common stock, you should carefully consider the risks and uncertainties described below together with all of the other information contained in this prospectus and in the documents incorporated by reference herein, including the risks described in “Item 1A. Risk Factors” of our most recent Annual Report on Form 10-K or Quarterly Report on Form 10-Q filed with the SEC, as such risk factors may be amended, supplemented or superseded from time to time by other reports we file with the SEC, including subsequent Annual Reports on Form 10-K and Quarterly Reports on Form 10-Q. If any of these risks actually occur, our business, prospects, operating results and financial condition could suffer materially. In such event, the trading price of our Class B common stock could decline and you might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will have broad discretion as to the allocation of the net proceeds from the sale of the shares of our Class B common stock offered by this prospectus, and we may not use the net proceeds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not designated the amount of net proceeds from the sale of the shares of our Class B common stock offered by this prospectus to be used for any particular purpose, our management will have broad discretion as to the allocation of the net proceeds from this offering and could use them for purposes other than those contemplated at the time of the offering. See “Use of Proceeds” beginning on page 9 of this prospectus. Our management may use the net proceeds, if any, for corporate purposes that may not improve our financial condition or market price of our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immediate and substantial dilution in the net tangible book value per share of our Class B common stock you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of our Class B common stock in this offering may exceed the net tangible book value per share of our Class B common stock outstanding prior to this offering. Assuming that all of our Class B common stock in the aggregate amount of $19,000,000 is sold pursuant to this prospectus at a price of $1.98 per share, which was the last reported sale price of our Class B common stock on Nasdaq on September 28, 2026, after deducting estimated commissions and estimated aggregate offering expenses payable by us, you would experience immediate dilution of $1.07 per share, representing the difference between our as adjusted net tangible book value per share as of June 30, 2026 after giving effect to this offering and the assumed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our Class B common stock or other securities convertible into or exchangeable for our Class B common stock at prices that may not be the same as the price per share of our Class B common stock in this offering. We may sell shares of our Class B common stock or other securities in any other offering at a price per share that is less than the price per share paid by investors in this offering, and investors purchasing shares of our Class B common stock or other securities in the future could have rights superior to existing stockholders. The price per share at which we sell additional shares of our Class B common stock, or securities convertible into or exchangeable for our Class B common stock, in future transactions may be higher or lower than the price per share paid by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sale of shares of our Class B common stock in this offering and any future sales of a substantial number of shares of our Class B common stock in the public market, or the perception that such sales may occur, could adversely affect the price of our Class B common stock. We cannot predict the effect, if any, that market sales of those shares of our Class B common stock, or the perception that those shares may be sold, will have on the market price of our Class B common stock.</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plan to sell shares of our Class B common stock in “at the market offerings”, and investors who purchase shares of our Class B common stock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of our Class B common stock in this offering at different times will likely pay different prices and may experience different outcomes in their investment results. We will have discretion, subject to the effect of market conditions, to vary the timing, prices and numbers of shares of our Class B common stock sold in this offering. Investors may experience a decline in the value of their shares of our Class B common stock. Many factors could have an impact on the market price of our Class B common stock, including the factors described above and those disclosed under “Risk Factors” in our Annual Report on Form 10-K for the year ended December 31, 2025, as updated in subsequent reports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availability for sale of a substantial number of shares of our Class B common stock could adversely affect the market price of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Class B common stock in the public market, or the perception or indication that these sales could occur, could adversely affect the market price of such shares and could materially impair our ability to raise capital through equity offerings in the future or cause the trading price of our Class B common stock to decline. We are unable to predict what effect, if any, sales of securities in this offering or by our significant stockholders, directors or officers will have on the market price of our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shares we will issue under the Sales Agreement, at any one time or in total,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instructions to Cantor to sell shares of our Class B common stock at any time throughout the term of the Sales Agreement. The number of shares that are sold to or through Cantor after our instruction will fluctuate based on a number of factors, including the market price of our Class B common stock during the sales period, the limits we set with Cantor in any instruction to sell shares, and the demand for our Class B common stock during the sales period. Because the price per share of each share sold will fluctuate during this offering, it is not currently possible to predict the number of shares that will be sold or the gross proceeds to be raised in connection with those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expect to pay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not paid dividends on our Common Stock. We do not currently intend to pay dividends on our Common Stock and we currently intend to retain all available funds and any future earnings for use in the operation of our business and do not anticipate paying any dividends on our capital stock in the foreseeable future. In addition, the terms of future debt agreements may preclude us from paying dividends.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appreciation, if any, of our Common Stock may be your sole source of gain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 and we will require additional capital beyond the proceeds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our Annual Report on Form 10-K and our Quarterly Reports on Form 10-Q incorporated by reference in this prospectus, our recurring losses and need for additional capital raise substantial doubt about our ability to continue as a going concern. The proceeds of this offering, if any, will not be sufficient to fund the commencement of production of our vehicles, and we will need to raise substantial additional capital through further equity or debt financings, strategic transactions or other sources, which may not be available on acceptable terms or at all. Any such financing may be dilutive to holders of our Class B common stock.</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px_006"/>
      <w:bookmarkEnd w:id="24"/>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from time to time shares of our Class B common stock having an aggregate gross sales price of up to $19,000,000. Because there is no minimum offering amount required as a condition to close this offering, the actual total public offering amount, commissions and proceeds to us, if any, are not determinable at this time. There can be no assurance that we will sell any shares of our Class B common stock under or fully utilize the Sales Agreement with Cantor as a source of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if any, to support general corporate purposes, ongoing product validation and manufacturing readiness activities, including vehicle validation testing, advancement of design-for-manufacturability and production planning efforts, initiation of production supplier engagements, and commencement of long-lead tooling in support of our production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represents our best estimate of the manner in which we will use the net proceeds we receive from this offering based upon the current status of our business, but we have not reserved or allocated amounts for specific purposes and we cannot specify with certainty how or when we will use any of the net proceeds. Amounts and timing of our actual expenditures will depend on numerous factors. Our management will have broad discretion in applying the net proceeds from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application of the net proceeds as described above, we intend to invest the proceeds to us in investment-grade, interest-bearing securities such as money market funds, certificates of deposit, or direct or guaranteed obligations of the U.S. government, or hold as cash. We cannot predict whether the proceeds invested will yield a favorable, or any, return.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px_007"/>
      <w:bookmarkEnd w:id="25"/>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Class B common stock, your interest will be diluted to the extent of the difference between the price per share you pay in this offering and the net tangible book value per share of our Class B common stock immediately after this offering. Our net tangible book value as of June 30, 2026 was approximately $24.4 million, or approximately $0.65 per share based upon 37,422,663 shares of Class A common stock and Class B common stock outstanding. Net tangible book value per share is equal to our total tangible assets, less our total liabilities, divided by the total number of shares outstanding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our Class B common stock in this offering in the aggregate amount of $19,000,000 at an assumed offering price of $1.98 per share, the last reported sale price of our Class B common stock on Nasdaq on September 28, 2026, and after deducting commissions and estimated offering expenses payable by us, our as adjusted net tangible book value as of June 30, 2026 would have been $42.7 million, or $0.91 per share. This represents an immediate increase in net tangible book value of $0.26 per share to our existing stockholders and an immediate dilution in net tangible book value of $1.07 per share to new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calculation on a per share basis. The as adjusted information is illustrative only and will adjust based on the actual price to the public, the actual number of shares sold and other terms of the offering determined at the time shares of our Class B common stock are sold pursuant to this prospectus. The as adjusted information assumes that all of our Class B common stock in the aggregate amount of $19,000,000 is sold at the assumed offering price of $1.98 per share, the last reported sale price of our Class B common stock on Nasdaq on September 28, 2026. The shares sold in this offering, if any, will be sold from time to time at various prices.</w:t>
      </w:r>
    </w:p>
    <w:p>
      <w:pPr>
        <w:pStyle w:val="TextBody"/>
        <w:bidi w:val="0"/>
        <w:spacing w:before="0" w:after="0"/>
        <w:ind w:left="0" w:right="0" w:firstLine="360"/>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490"/>
        <w:gridCol w:w="60"/>
        <w:gridCol w:w="140"/>
        <w:gridCol w:w="440"/>
        <w:gridCol w:w="60"/>
        <w:gridCol w:w="60"/>
        <w:gridCol w:w="140"/>
        <w:gridCol w:w="440"/>
        <w:gridCol w:w="75"/>
      </w:tblGrid>
      <w:tr>
        <w:trPr/>
        <w:tc>
          <w:tcPr>
            <w:tcW w:w="74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Assumed 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75"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tangible book value per share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 in net tangible book value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adjusted net tangible book value per share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75"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Dilution per share to new investors participating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and calculations above are based on 37,422,663 shares of our Class A common stock and Class B common stock outstanding as of June 30, 2026, and exclude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6,847,074 shares of Class B common stock issuable upon the exercise of outstanding options at a weighted average exercise price of $14.84;</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637,895 shares of Class B common stock issuable upon the vesting of outstanding restricted stock units;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6,386,337 shares of Class B common stock issuable upon the exercise of outstanding warrants at a weighted average exercise price of $4.96 per share;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10,428,023 shares of Class B common stock available for future issuance under our 2025 Omnibus Equity Incentive Plan;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4,301,846 shares of Class B common stock issuable pursuant to our Equity Line of Credit.</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$1.00 per share in the price at which the shares are sold from the assumed offering price of $1.98 per share shown in the table above would increase our adjusted net tangible book value per share after the offering to $0.97 per share and would increase the dilution in net tangible book value per share to new investors in this offering to $2.01 per share, after deducting commissions and estimated aggregate offering expenses payable by us. A decrease of $1.00 per share in the price at which the shares are sold from the assumed offering price of $1.98 per share shown in the table above would decrease our adjusted net tangible book value per share after the offering to $0.75 per share and would decrease the dilution in net tangible book value per share to new investors in this offering to $0.23 per share, after deducting commissions and estimated aggregate offering expenses payable by us. This information is supplied for illustrative purposes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outstanding warrants and options are exercised or outstanding restricted stock units vest,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px_008"/>
      <w:bookmarkEnd w:id="26"/>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capital stock. Our obligation to pay a dividend on our Class A common stock or Class B common stock is subject to our board of directors declaring such a payment. We are not obligated to pay any dividends on our Class A common stock or Class B common stock and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px_009"/>
      <w:bookmarkEnd w:id="27"/>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Controlled Equity Offering</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Sales Agreement, or the Sales Agreement, with Cantor Fitzgerald &amp; Co., or Cantor. Pursuant to this prospectus, we may offer and sell shares of our Class B common stock having an aggregate gross sales price of up to $19,000,000 from time to time to or through Cantor acting as principal and/or the sales agent. A copy of the Sales Agreement has been filed as an exhibit to our registration statement on Form S-3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of a placement notice and subject to the terms and conditions of the Sales Agreement, Cantor may sell shares of our Class B common stock by any method permitted by law deemed to be an “at the market offering” as defined in Rule 415(a)(4) promulgated under the Securities Act. We may instruct Cantor not to sell shares of our Class B common stock if the sales cannot be effected at or above the price designated by us from time to time. We or Cantor may suspend the offering of shares of our Class B common stock upon notice and subject to other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Cantor commissions, in cash, for its service in acting as agent in the sale of shares of our Class B common stock. Cantor will be entitled to compensation at a commission rate equal to 3.0% of the gross sales price per share sold under the Sales Agreement. Because there is no minimum offering amount required as a condition of this offering, the actual total public offering amount, commissions and proceeds to us, if any, are not determinable at this time. We have also agreed to reimburse Cantor for certain specified fees and expenses, including the fees and disbursements of its legal counsel in an amount not to exceed (a) $125,000 in connection with the execution of the Sales Agreement, (b) $25,000 per calendar quarter thereafter payable in connection with each representation date with respect to which the Company is obligated to deliver a certificate pursuant to the terms of the Sales Agreement, and (c) $40,000 for each program “refresh” (filing of a new registration statement, prospectus or prospectus supplement relating to the shares of Class B common stock and/or an amendment of the Sales Agreement) executed pursuant to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shares of our Class B common stock will occur on the business day immediately following the date on which any sales are made, or on some other date that is agreed upon by us and Cantor in connection with a particular transaction, in return for payment of the net proceeds to us. Sales of our Class B common stock as contemplated in this prospectus will be settled through the facilities of The Depository Trust Company or by such other means as we and Cantor may agree upon. There is no arrangement for funds to be received in an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will use its commercially reasonable efforts, consistent with its sales and trading practices and applicable federal and state laws, rules and regulations and Nasdaq rules, to sell the shares of Class B common stock under the terms and subject to the conditions set forth in the Sales Agreement. In connection with the sale of the Class B common stock on our behalf, Cantor will be deemed to be an “underwriter” within the meaning of the Securities Act and Cantor’s compensation will be deemed to be underwriting commissions or discounts. We have agreed to provide indemnification and contribution to Cantor and specified other persons against certain civil liabilities, including liabilities under the Securities Act and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report in our Annual Report on Form 10-K and Quarterly Reports on Form 10-Q to be filed with the SEC from time to time the number of shares of our Class B common stock sold through Cantor under the Sales Agreement and the net proceeds to us in connection with such sales of shares of our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shares of our Class B common stock pursuant to the Sales Agreement will terminate upon the termination of the Sales Agreement as permitted therein. We and Cantor may each terminate the Sales Agreement at any time upon ten days’ prior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and its affiliates have provided and may in the future provide various investment banking, fiduciary and advisory, investment management, investment research, principal investment, hedging, market making, brokerage and other financial and non-financial activities and services for us and our affiliates, for which services they may in the future receive customary fees. To the extent required by Regulation M, Cantor will not engage in any market making activities involving our Class B common stock while the offering is ongoing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their various business activities, Cantor and its affiliates, officers, directors and employees may purchase, sell or hold a broad array of investments and actively trade securities, derivatives, loans, commodities, currencies, credit default swaps and other financial instruments (including bank loans)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Cantor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accompanying prospectus may be made available in electronic format on a website maintained by Cantor, and Cantor may distribute this prospectus and the accompanying prospectus electronically.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px_010"/>
      <w:bookmarkEnd w:id="2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will be passed upon for us by Lowenstein Sandler LLP, New York, New York. Cantor is being represented in connection with this offering by DLA Piper LLP (US),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px_011"/>
      <w:bookmarkEnd w:id="29"/>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Aptera Motors Corp. as of December 31, 2025 and 2024, and for the years then ended, appearing in Aptera Motors Corp.’s Annual Report on Form 10-K for the year ended December 31, 2025, have been audited by dbbmckennon, independent registered public accounting firm, as set forth in their report thereon and incorporated herein by reference. Such financial statements are incorporated herein by reference in reliance upon such report of dbbmckennon pertaining to such financial statements given on the authority of such firm as experts in auditing and accounting.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px_012"/>
      <w:bookmarkEnd w:id="30"/>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S-3 under the Securities Act for the securities being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any of our contracts or other documents are not necessarily complete, and you should refer to the exhibits attached to the registration statement for copies of the actual contract or document. SEC filings are also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and information requirements of the Exchange Act and, as a result, we file periodic and current reports, proxy statements and other information with the SEC. We make our periodic reports and other information filed with or furnished to the SEC, available, free of charge, through our website as soon as reasonably practicable after those reports and other information are filed with or furnished to the SEC. Additionally, these periodic reports, proxy statements and other information are available for inspection and copying at the public reference room and website of the SEC referred to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maintain a website at the following address: </w:t>
      </w:r>
      <w:r>
        <w:rPr>
          <w:rFonts w:ascii="Times New Roman;Times;Serif" w:hAnsi="Times New Roman;Times;Serif"/>
          <w:b w:val="false"/>
          <w:i/>
          <w:caps w:val="false"/>
          <w:smallCaps w:val="false"/>
          <w:sz w:val="20"/>
        </w:rPr>
        <w:t>https://aptera.us</w:t>
      </w:r>
      <w:r>
        <w:rPr>
          <w:rFonts w:ascii="Times New Roman;Times;Serif" w:hAnsi="Times New Roman;Times;Serif"/>
          <w:b w:val="false"/>
          <w:i w:val="false"/>
          <w:caps w:val="false"/>
          <w:smallCaps w:val="false"/>
          <w:sz w:val="20"/>
        </w:rPr>
        <w:t>. The information contained on, or that can be accessed through, our website is not incorporated by reference into, and is not a part of, this prospectus. We also make available on or through our website certain reports and amendments to those reports that we file with or furnish to the SEC in accordance with the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In addition, we routinely post on the “Investors” page of our website news releases, announcements and other statements about our business and results of operations, some of which may contain information that may be deemed material to investors. Therefore, we encourage investors to monitor the “Investors” page of our website and review the information we post on that page.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px_013"/>
      <w:bookmarkEnd w:id="31"/>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S-3 with the SEC under the Securities Act. This prospectus is part of the registration statement but the registration statement includes and incorporates by reference additional information and exhibits. 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Information that we file later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17">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on March 30, 2026;</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periods ended </w:t>
            </w:r>
            <w:hyperlink r:id="rId18">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and </w:t>
            </w:r>
            <w:hyperlink r:id="rId19">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xml:space="preserve">, filed on May 13, 2026 and August 12, 2026, respectively;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t>
            </w:r>
            <w:hyperlink r:id="rId20">
              <w:r>
                <w:rPr>
                  <w:rStyle w:val="InternetLink"/>
                  <w:rFonts w:ascii="Times New Roman;Times;Serif" w:hAnsi="Times New Roman;Times;Serif"/>
                  <w:b w:val="false"/>
                  <w:i w:val="false"/>
                  <w:caps w:val="false"/>
                  <w:smallCaps w:val="false"/>
                  <w:sz w:val="20"/>
                </w:rPr>
                <w:t>January 26, 2026</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March 12, 2026</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April 14, 2026</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July 7, 2026</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July 13, 2026</w:t>
              </w:r>
            </w:hyperlink>
            <w:r>
              <w:rPr>
                <w:rFonts w:ascii="Times New Roman;Times;Serif" w:hAnsi="Times New Roman;Times;Serif"/>
                <w:b w:val="false"/>
                <w:i w:val="false"/>
                <w:caps w:val="false"/>
                <w:smallCaps w:val="false"/>
                <w:sz w:val="20"/>
              </w:rPr>
              <w:t xml:space="preserve">, </w:t>
            </w:r>
            <w:hyperlink r:id="rId25">
              <w:r>
                <w:rPr>
                  <w:rStyle w:val="InternetLink"/>
                  <w:rFonts w:ascii="Times New Roman;Times;Serif" w:hAnsi="Times New Roman;Times;Serif"/>
                  <w:b w:val="false"/>
                  <w:i w:val="false"/>
                  <w:caps w:val="false"/>
                  <w:smallCaps w:val="false"/>
                  <w:sz w:val="20"/>
                </w:rPr>
                <w:t>August 14, 2026</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August 20, 2026</w:t>
              </w:r>
            </w:hyperlink>
            <w:r>
              <w:rPr>
                <w:rFonts w:ascii="Times New Roman;Times;Serif" w:hAnsi="Times New Roman;Times;Serif"/>
                <w:b w:val="false"/>
                <w:i w:val="false"/>
                <w:caps w:val="false"/>
                <w:smallCaps w:val="false"/>
                <w:sz w:val="20"/>
              </w:rPr>
              <w:t xml:space="preserve"> and </w:t>
            </w:r>
            <w:hyperlink r:id="rId27">
              <w:r>
                <w:rPr>
                  <w:rStyle w:val="InternetLink"/>
                  <w:rFonts w:ascii="Times New Roman;Times;Serif" w:hAnsi="Times New Roman;Times;Serif"/>
                  <w:b w:val="false"/>
                  <w:i w:val="false"/>
                  <w:caps w:val="false"/>
                  <w:smallCaps w:val="false"/>
                  <w:sz w:val="20"/>
                </w:rPr>
                <w:t>October 1, 2026</w:t>
              </w:r>
            </w:hyperlink>
            <w:r>
              <w:rPr>
                <w:rFonts w:ascii="Times New Roman;Times;Serif" w:hAnsi="Times New Roman;Times;Serif"/>
                <w:b w:val="false"/>
                <w:i w:val="false"/>
                <w:caps w:val="false"/>
                <w:smallCaps w:val="false"/>
                <w:sz w:val="20"/>
              </w:rPr>
              <w:t xml:space="preserve"> (other than any portions deemed furnished and not filed);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our Registration Statement on </w:t>
            </w:r>
            <w:hyperlink r:id="rId28">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September 30, 2025, including any amendments thereto or reports filed for the purposes of updating this description, including </w:t>
            </w:r>
            <w:hyperlink r:id="rId29">
              <w:r>
                <w:rPr>
                  <w:rStyle w:val="InternetLink"/>
                  <w:rFonts w:ascii="Times New Roman;Times;Serif" w:hAnsi="Times New Roman;Times;Serif"/>
                  <w:b w:val="false"/>
                  <w:i w:val="false"/>
                  <w:caps w:val="false"/>
                  <w:smallCaps w:val="false"/>
                  <w:sz w:val="20"/>
                </w:rPr>
                <w:t>Exhibit 4.12</w:t>
              </w:r>
            </w:hyperlink>
            <w:r>
              <w:rPr>
                <w:rFonts w:ascii="Times New Roman;Times;Serif" w:hAnsi="Times New Roman;Times;Serif"/>
                <w:b w:val="false"/>
                <w:i w:val="false"/>
                <w:caps w:val="false"/>
                <w:smallCaps w:val="false"/>
                <w:sz w:val="20"/>
              </w:rPr>
              <w:t xml:space="preserve"> to our Annual Report on Form 10-K for the year ended December 31, 2025, filed with the SEC on March 30,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all additional documents that we file with the SEC under the terms of Sections 13(a), 13(c), 14 or 15(d) of the Exchange Act, that are made after the initial filing date of the registration statement of which this prospectus is a part until the offering of the particular securities covered by a prospectus supplement or term sheet has been completed. We are not, however, incorporating, in each case, any documents or information that we are deemed to furnish and not file in accordance with SEC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and we will provide you with, a copy of these filings, at no cost, by contacting us 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5818 El Camino Real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Carlsbad, California 92008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(858) 371-3151</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$19,000,000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45920" cy="16548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0"/>
                    <a:stretch>
                      <a:fillRect/>
                    </a:stretch>
                  </pic:blipFill>
                  <pic:spPr bwMode="auto">
                    <a:xfrm>
                      <a:off x="0" y="0"/>
                      <a:ext cx="1645920" cy="165481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Cantor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in connection with the issuance and distribution of the securities being registered, other than underwriting discounts and commissions, are estimated below:</w:t>
      </w:r>
    </w:p>
    <w:p>
      <w:pPr>
        <w:pStyle w:val="TextBody"/>
        <w:bidi w:val="0"/>
        <w:spacing w:before="0" w:after="0"/>
        <w:ind w:left="0" w:right="0" w:firstLine="720"/>
        <w:jc w:val="left"/>
        <w:rPr>
          <w:caps w:val="false"/>
          <w:smallCaps w:val="false"/>
        </w:rPr>
      </w:pPr>
      <w:r>
        <w:rPr>
          <w:caps w:val="false"/>
          <w:smallCaps w:val="false"/>
        </w:rPr>
        <w:t> </w:t>
      </w:r>
    </w:p>
    <w:tbl>
      <w:tblPr>
        <w:tblW w:w="3540" w:type="dxa"/>
        <w:jc w:val="left"/>
        <w:tblInd w:w="0" w:type="dxa"/>
        <w:tblLayout w:type="fixed"/>
        <w:tblCellMar>
          <w:top w:w="0" w:type="dxa"/>
          <w:left w:w="0" w:type="dxa"/>
          <w:bottom w:w="0" w:type="dxa"/>
          <w:right w:w="0" w:type="dxa"/>
        </w:tblCellMar>
      </w:tblPr>
      <w:tblGrid>
        <w:gridCol w:w="2690"/>
        <w:gridCol w:w="60"/>
        <w:gridCol w:w="125"/>
        <w:gridCol w:w="590"/>
        <w:gridCol w:w="75"/>
      </w:tblGrid>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filing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and engraving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fees are calculated based on the number of issuances and the amount of securities offered and accordingly cannot be estimated at this time. An estimate of the aggregate expenses in connection with the sale of securities being offered will be included in the applicable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or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DGCL, the registrant’s Amended Charter contains provisions that eliminate the personal liability of its directors and officers for monetary damages for any breach of fiduciary duties as a director or officer, as applicable, except liability for the following:</w:t>
      </w:r>
    </w:p>
    <w:p>
      <w:pPr>
        <w:pStyle w:val="TextBody"/>
        <w:bidi w:val="0"/>
        <w:spacing w:before="0" w:after="0"/>
        <w:ind w:left="0" w:right="0" w:hanging="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the director’s duty of loyalty to the registrant or its stockholders;</w:t>
            </w:r>
          </w:p>
        </w:tc>
      </w:tr>
    </w:tbl>
    <w:p>
      <w:pPr>
        <w:pStyle w:val="TextBody"/>
        <w:bidi w:val="0"/>
        <w:spacing w:before="0" w:after="0"/>
        <w:ind w:left="720" w:right="0" w:hanging="360"/>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17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or omissions not in good faith or that involve intentional misconduct or a knowing violation of law;</w:t>
            </w:r>
          </w:p>
        </w:tc>
      </w:tr>
    </w:tbl>
    <w:p>
      <w:pPr>
        <w:pStyle w:val="TextBody"/>
        <w:bidi w:val="0"/>
        <w:spacing w:before="0" w:after="0"/>
        <w:ind w:left="720" w:right="0" w:hanging="36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(regarding unlawful dividends and stock purchases); or</w:t>
            </w:r>
          </w:p>
        </w:tc>
      </w:tr>
    </w:tbl>
    <w:p>
      <w:pPr>
        <w:pStyle w:val="TextBody"/>
        <w:bidi w:val="0"/>
        <w:spacing w:before="0" w:after="0"/>
        <w:ind w:left="720" w:right="0" w:hanging="36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from which the director derived an improper personal benefit.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DGCL, the registrant’s Bylaws provide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required to indemnify its directors and executive officers to the fullest extent permitted by the DGCL, subject to very limited exceptions;</w:t>
            </w:r>
          </w:p>
        </w:tc>
      </w:tr>
    </w:tbl>
    <w:p>
      <w:pPr>
        <w:pStyle w:val="TextBody"/>
        <w:bidi w:val="0"/>
        <w:spacing w:before="0" w:after="0"/>
        <w:ind w:left="720" w:right="0" w:hanging="36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may indemnify its other employees and agents as set forth in the DGCL;</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required to advance expenses, as incurred, to its directors and executive officers in connection with a legal proceeding to the fullest extent permitted by the DGCL, subject to very limited exceptions; and</w:t>
            </w:r>
          </w:p>
        </w:tc>
      </w:tr>
    </w:tbl>
    <w:p>
      <w:pPr>
        <w:pStyle w:val="TextBody"/>
        <w:bidi w:val="0"/>
        <w:spacing w:before="0" w:after="0"/>
        <w:ind w:left="720" w:right="0" w:hanging="36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in the Bylaws are not exclusive.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provisions in the registrant’s Amended Charter and Bylaws may be sufficiently broad to permit indemnification of the registrant’s directors and executive officers for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enter into indemnification agreements with each of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185"/>
        <w:gridCol w:w="77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7279"/>
        <w:gridCol w:w="60"/>
        <w:gridCol w:w="500"/>
        <w:gridCol w:w="60"/>
        <w:gridCol w:w="650"/>
        <w:gridCol w:w="60"/>
        <w:gridCol w:w="811"/>
      </w:tblGrid>
      <w:tr>
        <w:trPr/>
        <w:tc>
          <w:tcPr>
            <w:tcW w:w="7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pPr>
            <w:hyperlink w:anchor="ex1-2.htm">
              <w:r>
                <w:rPr>
                  <w:rStyle w:val="InternetLink"/>
                  <w:rFonts w:ascii="Times New Roman;Times;Serif" w:hAnsi="Times New Roman;Times;Serif"/>
                  <w:b w:val="false"/>
                  <w:i w:val="false"/>
                  <w:caps w:val="false"/>
                  <w:smallCaps w:val="false"/>
                  <w:sz w:val="20"/>
                </w:rPr>
                <w:t>Controlled Equity Offering</w:t>
              </w:r>
            </w:hyperlink>
            <w:hyperlink w:anchor="ex1-2.htm">
              <w:r>
                <w:rPr>
                  <w:rStyle w:val="InternetLink"/>
                  <w:rFonts w:ascii="Times New Roman;Times;Serif" w:hAnsi="Times New Roman;Times;Serif"/>
                  <w:b w:val="false"/>
                  <w:i w:val="false"/>
                  <w:caps w:val="false"/>
                  <w:smallCaps w:val="false"/>
                  <w:position w:val="7"/>
                  <w:sz w:val="16"/>
                  <w:sz w:val="20"/>
                </w:rPr>
                <w:t>SM</w:t>
              </w:r>
            </w:hyperlink>
            <w:hyperlink w:anchor="ex1-2.htm">
              <w:r>
                <w:rPr>
                  <w:rStyle w:val="InternetLink"/>
                  <w:rFonts w:ascii="Times New Roman;Times;Serif" w:hAnsi="Times New Roman;Times;Serif"/>
                  <w:b w:val="false"/>
                  <w:i w:val="false"/>
                  <w:caps w:val="false"/>
                  <w:smallCaps w:val="false"/>
                  <w:sz w:val="20"/>
                </w:rPr>
                <w:t xml:space="preserve"> Sales Agreement, by and between Aptera Motors Corp. and Cantor Fitzgerald &amp; Co., dated October 1, 2026.</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Amended and Restated Certificate of Incorporation of Aptera Motors Corp.</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10/1/2025</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Amended and Restated Bylaws of Aptera Motors Corp.</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10/1/2025</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 Agreement, including form of Warrant.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Unit Agreement.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Specimen Debt Security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pPr>
            <w:hyperlink w:anchor="ex4-4.htm">
              <w:r>
                <w:rPr>
                  <w:rStyle w:val="InternetLink"/>
                  <w:rFonts w:ascii="Times New Roman;Times;Serif" w:hAnsi="Times New Roman;Times;Serif"/>
                  <w:b w:val="false"/>
                  <w:i w:val="false"/>
                  <w:caps w:val="false"/>
                  <w:smallCaps w:val="false"/>
                  <w:sz w:val="20"/>
                </w:rPr>
                <w:t>Form of Senior Debt Indenture between Aptera Motors Corp. and the Trustee.</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pPr>
            <w:hyperlink w:anchor="ex4-5.htm">
              <w:r>
                <w:rPr>
                  <w:rStyle w:val="InternetLink"/>
                  <w:rFonts w:ascii="Times New Roman;Times;Serif" w:hAnsi="Times New Roman;Times;Serif"/>
                  <w:b w:val="false"/>
                  <w:i w:val="false"/>
                  <w:caps w:val="false"/>
                  <w:smallCaps w:val="false"/>
                  <w:sz w:val="20"/>
                </w:rPr>
                <w:t>Form of Subordinated Debt Indenture between Aptera Motors Corp. and the Trustee.</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pPr>
            <w:hyperlink w:anchor="ex4-4.htm">
              <w:r>
                <w:rPr>
                  <w:rStyle w:val="InternetLink"/>
                  <w:rFonts w:ascii="Times New Roman;Times;Serif" w:hAnsi="Times New Roman;Times;Serif"/>
                  <w:b w:val="false"/>
                  <w:i w:val="false"/>
                  <w:caps w:val="false"/>
                  <w:smallCaps w:val="false"/>
                  <w:sz w:val="20"/>
                </w:rPr>
                <w:t>Form of Senior Note (included in Exhibit 4.4)</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pPr>
            <w:hyperlink w:anchor="ex4-5.htm">
              <w:r>
                <w:rPr>
                  <w:rStyle w:val="InternetLink"/>
                  <w:rFonts w:ascii="Times New Roman;Times;Serif" w:hAnsi="Times New Roman;Times;Serif"/>
                  <w:b w:val="false"/>
                  <w:i w:val="false"/>
                  <w:caps w:val="false"/>
                  <w:smallCaps w:val="false"/>
                  <w:sz w:val="20"/>
                </w:rPr>
                <w:t>Form of Subordinated Note (included in Exhibit 4.5)</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Lowenstein Sandler LLP</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Independent Registered Public Accounting Firm</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Lowenstein Sandler LLP (included in Exhibit 5.1)</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pPr>
            <w:hyperlink w:anchor="poa_001">
              <w:r>
                <w:rPr>
                  <w:rStyle w:val="InternetLink"/>
                  <w:rFonts w:ascii="Times New Roman;Times;Serif" w:hAnsi="Times New Roman;Times;Serif"/>
                  <w:b w:val="false"/>
                  <w:i w:val="false"/>
                  <w:caps w:val="false"/>
                  <w:smallCaps w:val="false"/>
                  <w:sz w:val="20"/>
                </w:rPr>
                <w:t>Power of Attorney (included in the signature page hereto)</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Eligibility on Form T-1 of the Trustee for the Senior Debt Indenture.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Eligibility on Form T-1 of the Trustee for the Subordinated Debt Indenture.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79" w:type="dxa"/>
            <w:tcBorders/>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filed, if applicable, as an exhibit to a post-effective amendment to this registration statement or as an exhibit to a report filed under Sections 13(a), 13(c), 14 or 15(d) of the Securities Exchange Act of 1934, as amended, and incorporated herein by reference.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filed pursuant to Section 305 (b)(2) of the Trust Indenture Act of 1939, as amended.</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the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the undertakings set forth in paragraphs (a)(1)(i), (a)(1)(ii) and (a)(1)(iii)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this registration statement as of the date the filed prospectus was deemed part of and included in the registration statement;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 (b)(2),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of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to any purchaser in the initial distribution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Act.</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of the Registration Statement on Form S-3 and has duly caused this Form S-3 to be signed on its behalf by the undersigned, thereunto duly authorized, in the City of Carlsbad, California, on the day of October 1, 2026.</w:t>
      </w:r>
    </w:p>
    <w:p>
      <w:pPr>
        <w:pStyle w:val="TextBody"/>
        <w:bidi w:val="0"/>
        <w:spacing w:before="0" w:after="0"/>
        <w:jc w:val="center"/>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1820"/>
        <w:gridCol w:w="320"/>
        <w:gridCol w:w="2240"/>
      </w:tblGrid>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25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Anthony</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poa_001"/>
      <w:bookmarkEnd w:id="3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KNOW ALL PERSONS BY THESE PRESENTS: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Aptera Motors Corp., hereby severally constitute and appoint Chris Anthony and Tom DaPolito, and each of them singly (with full power to each of them to act alone),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on behalf of the registrant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1910"/>
        <w:gridCol w:w="60"/>
        <w:gridCol w:w="5015"/>
        <w:gridCol w:w="60"/>
        <w:gridCol w:w="1340"/>
      </w:tblGrid>
      <w:tr>
        <w:trPr/>
        <w:tc>
          <w:tcPr>
            <w:tcW w:w="191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9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1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Anthony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tc>
      </w:tr>
      <w:tr>
        <w:trPr/>
        <w:tc>
          <w:tcPr>
            <w:tcW w:w="19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1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Tom DaPolito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DaPolito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1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Steve Fambro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 and 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tc>
      </w:tr>
      <w:tr>
        <w:trPr/>
        <w:tc>
          <w:tcPr>
            <w:tcW w:w="19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Fambro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1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Tony Kirton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tc>
      </w:tr>
      <w:tr>
        <w:trPr/>
        <w:tc>
          <w:tcPr>
            <w:tcW w:w="19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Tony Kirton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1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Todd Butz</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tc>
      </w:tr>
      <w:tr>
        <w:trPr/>
        <w:tc>
          <w:tcPr>
            <w:tcW w:w="19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Butz</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1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Wellington J. Reiter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tc>
      </w:tr>
      <w:tr>
        <w:trPr/>
        <w:tc>
          <w:tcPr>
            <w:tcW w:w="19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Wellington J. Reiter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bookmarkStart w:id="33" w:name="ex1-2.htm"/>
      <w:bookmarkStart w:id="34" w:name="ksex12"/>
      <w:bookmarkEnd w:id="33"/>
      <w:bookmarkEnd w:id="34"/>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Aptera Motors Corp.</w:t>
      </w:r>
      <w:r>
        <w:rPr>
          <w:rFonts w:ascii="Times New Roman;Times;Serif" w:hAnsi="Times New Roman;Times;Serif"/>
          <w:b w:val="false"/>
          <w:i w:val="false"/>
          <w:caps w:val="false"/>
          <w:smallCaps w:val="false"/>
          <w:sz w:val="20"/>
        </w:rPr>
        <w:br/>
        <w:t>Shares of Class B Common Stock</w:t>
        <w:br/>
        <w:t>(par value $0.0001 per share)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Controlled Equity Offering</w:t>
      </w:r>
      <w:r>
        <w:rPr>
          <w:rFonts w:ascii="Times New Roman;Times;Serif" w:hAnsi="Times New Roman;Times;Serif"/>
          <w:b/>
          <w:i w:val="false"/>
          <w:caps w:val="false"/>
          <w:smallCaps w:val="false"/>
          <w:position w:val="7"/>
          <w:sz w:val="16"/>
          <w:sz w:val="20"/>
        </w:rPr>
        <w:t>SM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Sales Agreement</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br/>
        <w:t>110 East 59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w:t>
        <w:br/>
        <w:t>New York, NY 10022</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with Cantor Fitzgerald &amp; Co. (the “</w:t>
      </w:r>
      <w:r>
        <w:rPr>
          <w:rFonts w:ascii="Times New Roman;Times;Serif" w:hAnsi="Times New Roman;Times;Serif"/>
          <w:b/>
          <w:i w:val="false"/>
          <w:caps w:val="false"/>
          <w:smallCaps w:val="false"/>
          <w:sz w:val="20"/>
          <w:u w:val="single"/>
        </w:rPr>
        <w:t>Agent</w:t>
      </w:r>
      <w:r>
        <w:rPr>
          <w:rFonts w:ascii="Times New Roman;Times;Serif" w:hAnsi="Times New Roman;Times;Serif"/>
          <w:b w:val="false"/>
          <w:i w:val="false"/>
          <w:caps w:val="false"/>
          <w:smallCaps w:val="false"/>
          <w:sz w:val="20"/>
        </w:rPr>
        <w:t>”), as follows: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issue and sell to or through the Agent, as sales agent or principal, shares of Class B common stock (the “</w:t>
            </w:r>
            <w:r>
              <w:rPr>
                <w:rFonts w:ascii="Times New Roman;Times;Serif" w:hAnsi="Times New Roman;Times;Serif"/>
                <w:b/>
                <w:i w:val="false"/>
                <w:caps w:val="false"/>
                <w:smallCaps w:val="false"/>
                <w:sz w:val="20"/>
                <w:u w:val="single"/>
              </w:rPr>
              <w:t>Placement Shares</w:t>
            </w:r>
            <w:r>
              <w:rPr>
                <w:rFonts w:ascii="Times New Roman;Times;Serif" w:hAnsi="Times New Roman;Times;Serif"/>
                <w:b w:val="false"/>
                <w:i w:val="false"/>
                <w:caps w:val="false"/>
                <w:smallCaps w:val="false"/>
                <w:sz w:val="20"/>
              </w:rPr>
              <w:t>”) of the Company, par value $0.0001 per share (the “</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event shall the Company issue or sell through the Agent such number or dollar amount of Placement Shares that would (a) exceed the number or dollar amount of shares of Common Stock registered on the effective Registration Statement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 Prospectus (defined below) (the lesser of (a), (b), (c) and (d), the “</w:t>
            </w:r>
            <w:r>
              <w:rPr>
                <w:rFonts w:ascii="Times New Roman;Times;Serif" w:hAnsi="Times New Roman;Times;Serif"/>
                <w:b/>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Notwithstanding anything to the contrary contained herein, the parties hereto agree that compliance with the limitations set forth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on the amount of Placement Shares issued and sold under this Agreement shall be the sole responsibility of the Company and that the Agent shall have no obligation in connection with such compliance. The offer and sale of Placement Shares through the Agent will be effected pursuant to the Registration Statement (as defined below) filed by the Company and which has been or will be declared effective by the Securities and Exchange Commission (the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although nothing in this Agreement shall be construed as requiring the Company to use the Registration Statement to issue Common Stock.</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and filed, in accordance with the provisions of the Securities Act of 1933, as amended, and the rules and regulations thereunder (the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with the Commission a registration statement on Form S-3,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(the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The Company has prepared a prospectus or a prospectus supplement to the base prospectus included as part of the registration statement, which prospectus or prospectus supplement relates to the Placement Shares to be issued from time to time by the Company. Except where the context otherwise requires, such registration statement(s), including all documents filed as part thereof or incorporated by reference therein, and including any information contained in any Prospectus (as defined below) subsequently filed with the Commission pursuant to Rule 424(b) under the Securities Act or deemed to be a part of such registration statement pursuant to Rule 430B of the Securities Act, and any one or more additional effective registration statements on Form S-3 from time to time that will contain a base prospectus and, if applicable, a related prospectus or prospectus supplement (which shall be a “</w:t>
      </w:r>
      <w:r>
        <w:rPr>
          <w:rFonts w:ascii="Times New Roman;Times;Serif" w:hAnsi="Times New Roman;Times;Serif"/>
          <w:b/>
          <w:i w:val="false"/>
          <w:caps w:val="false"/>
          <w:smallCaps w:val="false"/>
          <w:sz w:val="20"/>
          <w:u w:val="single"/>
        </w:rPr>
        <w:t>Prospectus Supplement</w:t>
      </w:r>
      <w:r>
        <w:rPr>
          <w:rFonts w:ascii="Times New Roman;Times;Serif" w:hAnsi="Times New Roman;Times;Serif"/>
          <w:b w:val="false"/>
          <w:i w:val="false"/>
          <w:caps w:val="false"/>
          <w:smallCaps w:val="false"/>
          <w:sz w:val="20"/>
        </w:rPr>
        <w:t>”) with respect to the Placement Shares, is herein called the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The Registration Statement at the time it originally became effective is herein called the “</w:t>
      </w:r>
      <w:r>
        <w:rPr>
          <w:rFonts w:ascii="Times New Roman;Times;Serif" w:hAnsi="Times New Roman;Times;Serif"/>
          <w:b/>
          <w:i w:val="false"/>
          <w:caps w:val="false"/>
          <w:smallCaps w:val="false"/>
          <w:sz w:val="20"/>
          <w:u w:val="single"/>
        </w:rPr>
        <w:t>Original Registration Statement</w:t>
      </w:r>
      <w:r>
        <w:rPr>
          <w:rFonts w:ascii="Times New Roman;Times;Serif" w:hAnsi="Times New Roman;Times;Serif"/>
          <w:b w:val="false"/>
          <w:i w:val="false"/>
          <w:caps w:val="false"/>
          <w:smallCaps w:val="false"/>
          <w:sz w:val="20"/>
        </w:rPr>
        <w:t>.” The base prospectus, including all documents incorporated therein by reference, included in the Registration Statement, as it may be supplemented, if necessary, by one or more prospectus supplements relating to the Placement Shares to be issued from time to time by the Company, in the form in which such prospectus supplement(s) have most recently been filed by the Company with the Commission pursuant to Rule 424(b) under the Securities Act, together with the then issued Issuer Free Writing Prospectus(es) (as defined below), is herein called the “</w:t>
      </w:r>
      <w:r>
        <w:rPr>
          <w:rFonts w:ascii="Times New Roman;Times;Serif" w:hAnsi="Times New Roman;Times;Serif"/>
          <w:b/>
          <w:i w:val="false"/>
          <w:caps w:val="false"/>
          <w:smallCaps w:val="false"/>
          <w:sz w:val="20"/>
          <w:u w:val="single"/>
        </w:rPr>
        <w:t>Prospectus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herein to the Registration Statement, the Prospectus or any Issuer Free Writing Prospectus shall be deemed to refer to and include the documents, if any, incorporated by reference therein (the “</w:t>
      </w:r>
      <w:r>
        <w:rPr>
          <w:rFonts w:ascii="Times New Roman;Times;Serif" w:hAnsi="Times New Roman;Times;Serif"/>
          <w:b/>
          <w:i w:val="false"/>
          <w:caps w:val="false"/>
          <w:smallCaps w:val="false"/>
          <w:sz w:val="20"/>
          <w:u w:val="single"/>
        </w:rPr>
        <w:t>Incorporated Documents</w:t>
      </w:r>
      <w:r>
        <w:rPr>
          <w:rFonts w:ascii="Times New Roman;Times;Serif" w:hAnsi="Times New Roman;Times;Serif"/>
          <w:b w:val="false"/>
          <w:i w:val="false"/>
          <w:caps w:val="false"/>
          <w:smallCaps w:val="false"/>
          <w:sz w:val="20"/>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Times;Serif" w:hAnsi="Times New Roman;Times;Serif"/>
          <w:b/>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any Prospectus Supplement,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issue and sell Placement Shares hereunder (each, a “</w:t>
            </w:r>
            <w:r>
              <w:rPr>
                <w:rFonts w:ascii="Times New Roman;Times;Serif" w:hAnsi="Times New Roman;Times;Serif"/>
                <w:b/>
                <w:i w:val="false"/>
                <w:caps w:val="false"/>
                <w:smallCaps w:val="false"/>
                <w:sz w:val="20"/>
                <w:u w:val="single"/>
              </w:rPr>
              <w:t>Placement</w:t>
            </w:r>
            <w:r>
              <w:rPr>
                <w:rFonts w:ascii="Times New Roman;Times;Serif" w:hAnsi="Times New Roman;Times;Serif"/>
                <w:b w:val="false"/>
                <w:i w:val="false"/>
                <w:caps w:val="false"/>
                <w:smallCaps w:val="false"/>
                <w:sz w:val="20"/>
              </w:rPr>
              <w:t>”), it will notify the Agent by email notice (or other method mutually agreed to by the parties) of the number of Placement Shares to be issued or the gross proceeds to be raised in any given time period, the time period during which sales are requested to be made, any limitation on the number or amount of Placement Shares that may be sold in any one day and any minimum price below which sales of Placement Shares may not be made (a “</w:t>
            </w:r>
            <w:r>
              <w:rPr>
                <w:rFonts w:ascii="Times New Roman;Times;Serif" w:hAnsi="Times New Roman;Times;Serif"/>
                <w:b/>
                <w:i w:val="false"/>
                <w:caps w:val="false"/>
                <w:smallCaps w:val="false"/>
                <w:sz w:val="20"/>
                <w:u w:val="single"/>
              </w:rPr>
              <w:t>Placement Notice</w:t>
            </w:r>
            <w:r>
              <w:rPr>
                <w:rFonts w:ascii="Times New Roman;Times;Serif" w:hAnsi="Times New Roman;Times;Serif"/>
                <w:b w:val="false"/>
                <w:i w:val="false"/>
                <w:caps w:val="false"/>
                <w:smallCaps w:val="false"/>
                <w:sz w:val="20"/>
              </w:rPr>
              <w:t xml:space="preserve">”), the form of which is attached hereto as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The Placement Notice shall originate from any of the individuals authorized to act on behalf of the Company, which individuals have been identified by the Company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(with a copy to each of the other individuals identified by the Company on such schedule), and shall be addressed to each of the individuals identified by the Agent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as such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may be updated by either party from time to time by sending a written notice containing a revised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to the other party in the manner provided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The Placement Notice shall be effective unless and until (i) in accordance with the notice requirements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the Agent declines to accept the terms contained therein for any reason, in its sole discretion, (ii) all of the Placement Shares authorized to be sold under such Placement Notice have been sold, (iii) in accordance with the notice requirements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the Company suspends or terminates the Placement Notice, (iv) the Company issues a subsequent Placement Notice, (v) in accordance with the notice requirements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the Company suspends sales under or terminates the Placement Notice for any reason in its sole discretion, or (vi) this Agreement has been terminated under the provisions of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The amount of any discount, commission or other compensation to be paid by the Company to the Agent in connection with the sale of the Placement Shares shall be calculated in accordance with the terms set forth in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Subject to the provisions of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the Agent, for the period specified in the Placement Notice, will use its commercially reasonable efforts consistent with its normal trading and sales practices and applicable state and federal laws, rules and regulations and the rules of The Nasdaq Stock Market LLC (the “</w:t>
            </w:r>
            <w:r>
              <w:rPr>
                <w:rFonts w:ascii="Times New Roman;Times;Serif" w:hAnsi="Times New Roman;Times;Serif"/>
                <w:b/>
                <w:i w:val="false"/>
                <w:caps w:val="false"/>
                <w:smallCaps w:val="false"/>
                <w:sz w:val="20"/>
                <w:u w:val="single"/>
              </w:rPr>
              <w:t>Exchange</w:t>
            </w:r>
            <w:r>
              <w:rPr>
                <w:rFonts w:ascii="Times New Roman;Times;Serif" w:hAnsi="Times New Roman;Times;Serif"/>
                <w:b w:val="false"/>
                <w:i w:val="false"/>
                <w:caps w:val="false"/>
                <w:smallCaps w:val="false"/>
                <w:sz w:val="20"/>
              </w:rPr>
              <w:t xml:space="preserve">”), to sell the Placement Shares up to the amount specified in,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 respect to such sales, and the Net Proceeds (as defined below) payable to the Company, with an itemization of the deductions made by the Agent (as set forth in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from the gross proceeds that it receives from such sales. Subject to the terms of the Placement Notice, the Agent may sell Placement Shares by any method permitted by law deemed to be an “at the market offering” as defined in Rule 415(a)(4) of the Securities Act.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Common Stock is traded on the Exchange.</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Sale of Placement Shares by the Agent</w:t>
            </w:r>
            <w:r>
              <w:rPr>
                <w:rFonts w:ascii="Times New Roman;Times;Serif" w:hAnsi="Times New Roman;Times;Serif"/>
                <w:b w:val="false"/>
                <w:i w:val="false"/>
                <w:caps w:val="false"/>
                <w:smallCaps w:val="false"/>
                <w:sz w:val="20"/>
              </w:rPr>
              <w:t xml:space="preserve">. The Agent will provide written confirmation to the Company no later than the opening of the Trading Day immediately following the Trading Day on which it has made sales of Placement Shares hereunder setting forth the number of Placement Shares sold on such day, the compensation payable by the Company to the Agent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 respect to such sales, and the Net Proceeds (as defined below) payable to the Company, with an itemization of the deductions made by the Agent (as set forth in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from the gross proceeds that it receives from such sales. Subject to the terms of the Placement Notice, the Agent may sell Placement Shares (i) in privately negotiated transactions with the consent of the Company; (ii) as block transactions; or (iii) by any other method permitted by law deemed to be an “at the market offering” as defined in Rule 415(a)(4) of the Securities Act, including sales made directly on the Exchange or sales made into any other existing trading market of the Common Stock.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to sell such Placement Shares as required under this Agreement and (iii) the Agent shall be under no obligation to purchase Placement Shares on a principal basis pursuant to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 xml:space="preserve">. The Company or the Agent may, upon notice to the other party in writing (including by email correspondence to each of the individuals of the other party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suspend any sale of Placement Shares (a “</w:t>
            </w:r>
            <w:r>
              <w:rPr>
                <w:rFonts w:ascii="Times New Roman;Times;Serif" w:hAnsi="Times New Roman;Times;Serif"/>
                <w:b/>
                <w:i w:val="false"/>
                <w:caps w:val="false"/>
                <w:smallCaps w:val="false"/>
                <w:sz w:val="20"/>
                <w:u w:val="single"/>
              </w:rPr>
              <w:t>Suspension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Times;Serif" w:hAnsi="Times New Roman;Times;Serif"/>
                <w:b w:val="false"/>
                <w:i w:val="false"/>
                <w:caps w:val="false"/>
                <w:smallCaps w:val="false"/>
                <w:sz w:val="20"/>
                <w:u w:val="single"/>
              </w:rPr>
              <w:t>Sections 7(l)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7(n)</w:t>
            </w:r>
            <w:r>
              <w:rPr>
                <w:rFonts w:ascii="Times New Roman;Times;Serif" w:hAnsi="Times New Roman;Times;Serif"/>
                <w:b w:val="false"/>
                <w:i w:val="false"/>
                <w:caps w:val="false"/>
                <w:smallCaps w:val="false"/>
                <w:sz w:val="20"/>
              </w:rPr>
              <w:t xml:space="preserve"> with respect to the delivery of certificates, opinions, or comfort letters to the Agent, shall be waived. Each of the parties agrees that no such notice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effective against any other party unless it is made to one of the individuals identified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as such Schedule may be updated by either party from time to time by sending a written notice containing a revised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to the other party in the manner provided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Notwithstanding any other provision of this Agreement, during any period in which the Company is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take commercially reasonable steps to mitigate market signaling or leakage relating to the issuance of any Placement Shares, and (iii) the Agent shall not be obligated to sell or offer to sell any Placement Shares.</w:t>
            </w:r>
          </w:p>
        </w:tc>
      </w:tr>
    </w:tbl>
    <w:p>
      <w:pPr>
        <w:pStyle w:val="TextBody"/>
        <w:bidi w:val="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85"/>
        <w:gridCol w:w="281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Settlement; Delivery to the Agent</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Settlement of Placement Shares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Unless otherwise specified in the applicable Placement Notice, settlement for sales of Placement Shares will occur on the first (1st) Trading Day (or such earlier day as is industry practice or as is required for regular-way trading) following the date on which such sales are made (each, a “</w:t>
            </w:r>
            <w:r>
              <w:rPr>
                <w:rFonts w:ascii="Times New Roman;Times;Serif" w:hAnsi="Times New Roman;Times;Serif"/>
                <w:b/>
                <w:i w:val="false"/>
                <w:caps w:val="false"/>
                <w:smallCaps w:val="false"/>
                <w:sz w:val="20"/>
                <w:u w:val="single"/>
              </w:rPr>
              <w:t>Settlement Date</w:t>
            </w:r>
            <w:r>
              <w:rPr>
                <w:rFonts w:ascii="Times New Roman;Times;Serif" w:hAnsi="Times New Roman;Times;Serif"/>
                <w:b w:val="false"/>
                <w:i w:val="false"/>
                <w:caps w:val="false"/>
                <w:smallCaps w:val="false"/>
                <w:sz w:val="20"/>
              </w:rPr>
              <w:t>”). The amount of proceeds to be delivered to the Company on a Settlement Date against receipt of the Placement Shares sold (the “</w:t>
            </w:r>
            <w:r>
              <w:rPr>
                <w:rFonts w:ascii="Times New Roman;Times;Serif" w:hAnsi="Times New Roman;Times;Serif"/>
                <w:b/>
                <w:i w:val="false"/>
                <w:caps w:val="false"/>
                <w:smallCaps w:val="false"/>
                <w:sz w:val="20"/>
                <w:u w:val="single"/>
              </w:rPr>
              <w:t>Net Proceeds</w:t>
            </w:r>
            <w:r>
              <w:rPr>
                <w:rFonts w:ascii="Times New Roman;Times;Serif" w:hAnsi="Times New Roman;Times;Serif"/>
                <w:b w:val="false"/>
                <w:i w:val="false"/>
                <w:caps w:val="false"/>
                <w:smallCaps w:val="false"/>
                <w:sz w:val="20"/>
              </w:rPr>
              <w:t xml:space="preserve">”) will be equal to the aggregate sales price received by the Agent, after deduction for (i) the Agent’s commission, discount or other compensation for such sales payable by the Company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 (ii) any other amounts due and payable by the Company to the Agent hereunder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hereof and (iii) any transaction fees imposed by any Governmental Authority in respect of such sales.</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Placement Shares</w:t>
            </w:r>
            <w:r>
              <w:rPr>
                <w:rFonts w:ascii="Times New Roman;Times;Serif" w:hAnsi="Times New Roman;Times;Serif"/>
                <w:b w:val="false"/>
                <w:i w:val="false"/>
                <w:caps w:val="false"/>
                <w:smallCaps w:val="false"/>
                <w:sz w:val="20"/>
              </w:rPr>
              <w:t xml:space="preserve">. On or before each Settlement Date, the Company will, or will cause its transfer agent to, electronically transfer the Placement Shares being sold by crediting the Agent’s or its designee’s account (provided the Agent shall have given the Company written notice of such designee on or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in addition to and in no way limiting the rights and obligations set forth in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hereto, the Company will (i) hold the Agent harmless against any loss, claim, damage, or expense (including reasonable legal fees and expenses), as incurred, arising out of or in connection with such default by the Company or its transfer agent (as applicable), (ii) pay to the Agent any commission, discount, or other compensation to which it would otherwise have been entitled absent such default and (iii)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Denominations; Registration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Certificates for the Placement Shares, if any, shall be in such denominations and registered in such names as the Agent may request in writing at least one full Business Day (as defined below) before the applicable Settlement Date. The certificates for the Placement Shares, if any, will be made available by the Company for examination and packaging by the Agent in The City of New York not later than noon (New York time) on the Business Day prior to the applicable Settlement Date. The Company and the Agent each acknowledge and agree that the Placement Shares shall, unless agreed to by the Company and the Agent or required by applicable law, not be issued in certificated form.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Limitations on Offering Size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Under no circumstances shall the Company cause or request the offer or sale of any Placement Shares if, after giving effect to the sale of such Placement Shares, the aggregate gross sales proceeds of Placement Shares sold pursuant to this Agreement would exceed the lesser of (A) the Maximum Amount and (B) the amount authorized from time to time to be issued and sold under this Agreement by the Company’s board of directors, a duly authorized committee thereof or a duly authorized executive committee (such entity, the “</w:t>
            </w:r>
            <w:r>
              <w:rPr>
                <w:rFonts w:ascii="Times New Roman;Times;Serif" w:hAnsi="Times New Roman;Times;Serif"/>
                <w:b/>
                <w:i w:val="false"/>
                <w:caps w:val="false"/>
                <w:smallCaps w:val="false"/>
                <w:sz w:val="20"/>
                <w:u w:val="single"/>
              </w:rPr>
              <w:t>Company Authorization Body</w:t>
            </w:r>
            <w:r>
              <w:rPr>
                <w:rFonts w:ascii="Times New Roman;Times;Serif" w:hAnsi="Times New Roman;Times;Serif"/>
                <w:b w:val="false"/>
                <w:i w:val="false"/>
                <w:caps w:val="false"/>
                <w:smallCaps w:val="false"/>
                <w:sz w:val="20"/>
              </w:rPr>
              <w:t>”). Under no circumstances shall the Company cause or request the offer or sale of any Placement Shares pursuant to this Agreement at a price lower than the minimum price authorized from time to time by the Company Authorization Body.</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and agrees with the Agent that as of the date of this Agreement and as of each Applicable Time (as defined below):</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Statement and Prospectus</w:t>
            </w:r>
            <w:r>
              <w:rPr>
                <w:rFonts w:ascii="Times New Roman;Times;Serif" w:hAnsi="Times New Roman;Times;Serif"/>
                <w:b w:val="false"/>
                <w:i w:val="false"/>
                <w:caps w:val="false"/>
                <w:smallCaps w:val="false"/>
                <w:sz w:val="20"/>
              </w:rPr>
              <w:t>. The Company and the transactions contemplated by this Agreement meet the requirements for and comply with the applicable conditions set forth in Form S-3 (including General Instructions I.A and I.B) under the Securities Act. The Registration Statement has been or will be filed with the Commission and has been or will be declared effective by the Commission under the Securities Act prior to the issuance of any Placement Notices by the Company. Prior to the delivery of the first Placement Notice and as of each Applicable Time thereafter, the Registration Statement is and will be effective. The Prospectus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Incorporated Documents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Agent has consented.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did not or will not include an untrue statement of a material fact or omit to state a material fact necessary in order to make the statements therein, in light of the circumstances under which they were made, not misleading. The Incorporated Documents did not, and will not, when filed with the Commission, contain an untrue statement of a material fact or omit to state a material fact required to be stated in such document or necessary in order to make the statements in such document, in the light of the circumstances under which they were made, not misleading. The foregoing shall not apply to statements in, or omissions from, any such document made in reliance upon, and in conformity with, information furnished to the Company by the Agent in writing specifically for use in the preparation thereof, it being understood and agreed that the only such information furnished by the Agent to the Company consists of the Agent Information (as defined below).</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Conformity with the Securities Act and Exchange Act</w:t>
            </w:r>
            <w:r>
              <w:rPr>
                <w:rFonts w:ascii="Times New Roman;Times;Serif" w:hAnsi="Times New Roman;Times;Serif"/>
                <w:b w:val="false"/>
                <w:i w:val="false"/>
                <w:caps w:val="false"/>
                <w:smallCaps w:val="false"/>
                <w:sz w:val="20"/>
              </w:rPr>
              <w:t>. The Registration Statement, the Prospectus, any Issuer Free Writing Prospectus or any amendment or supplement thereto, and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Matters</w:t>
            </w:r>
            <w:r>
              <w:rPr>
                <w:rFonts w:ascii="Times New Roman;Times;Serif" w:hAnsi="Times New Roman;Times;Serif"/>
                <w:b w:val="false"/>
                <w:i w:val="false"/>
                <w:caps w:val="false"/>
                <w:smallCaps w:val="false"/>
                <w:sz w:val="20"/>
              </w:rPr>
              <w:t>. The Company is subject to and in compliance in all material respects with the reporting requirements of Section 13 or Section 15(d) of the Exchange Act. The Common Stock is registered pursuant to Section 12(b) of the Exchange Act and is currently listed on the Exchange. The Company has taken no action designed to, or likely to have the effect of, terminating the registration of the Common Stock under the Exchange Act,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 The Company has filed a Notification of Listing of Additional Shares with the Exchange with respect to the Placement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The consolidated financial statements of the Company included or incorporated by reference in the Registration Statement and the Prospectus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and the Subsidiaries for the periods specified and have been prepared in compliance with the requirements of the Securities Act and Exchange Act and in conformity with U.S. Generally Accepted Accounting Principles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during the periods involved. To the extent applicable, any pro forma financial statements, information or data included or incorporated by reference in the Registration Statement and the Prospectus comply with the requirements of Regulation S-X of the Securities Act, including, without limitation, Article 8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and statistical data with respect to the Company and the Subsidiaries (as defined below) contained or incorporated by reference in the Registration Statement and the Prospectus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therein as required. The Company and the Subsidiaries (as defined below) do not have any material liabilities or obligations, direct or contingent (including any off-balance sheet obligations), not described in the Registration Statement (excluding the exhibits thereto), and the Prospectus. All disclosures contained or incorporated by reference in the Registration Statement and the Prospectus regarding “non-GAAP financial measures” (as such term is defined by the rules and regulations of the Commission) comply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Conformity with EDGAR Filing</w:t>
            </w:r>
            <w:r>
              <w:rPr>
                <w:rFonts w:ascii="Times New Roman;Times;Serif" w:hAnsi="Times New Roman;Times;Serif"/>
                <w:b w:val="false"/>
                <w:i w:val="false"/>
                <w:caps w:val="false"/>
                <w:smallCaps w:val="false"/>
                <w:sz w:val="20"/>
              </w:rPr>
              <w:t>. The Prospectus delivered to the Agent for use in connection with the sale of the Placement Shares pursuant to this Agreement will be identical to the versions of the Prospectus created to be transmitted to the Commission for filing via EDGAR, except to the extent permitted by Regulation S-T.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Company is duly organized, validly existing as a public benefit corporation and in good standing under the laws of its jurisdiction of incorporation. The Company is duly licensed or qualified as a foreign corporation for transaction of business and in good standing under the laws of each jurisdiction in which its respective ownership or lease of property or the conduct of its respective business requires such license or qualification, and has all corporate power and authority necessary to own or hold its respective properties and to conduct its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earnings, results of operations, business, prospects, properties, assets, liabilities or stockholders’ equity of the Company and the Subsidiaries (as defined below) taken as a whole, whether or not arising from transactions in the ordinary course of business, or prevent or materially interfere with consummation of the transactions contemplated hereby (a “</w:t>
            </w:r>
            <w:r>
              <w:rPr>
                <w:rFonts w:ascii="Times New Roman;Times;Serif" w:hAnsi="Times New Roman;Times;Serif"/>
                <w:b/>
                <w:i w:val="false"/>
                <w:caps w:val="false"/>
                <w:smallCaps w:val="false"/>
                <w:sz w:val="20"/>
                <w:u w:val="single"/>
              </w:rPr>
              <w:t>Material Adverse Effect</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Each of the Company’s “subsidiaries” (for purposes of this Agreement, as defined in Rule 405 under the Securities Act) (each, a “</w:t>
            </w:r>
            <w:r>
              <w:rPr>
                <w:rFonts w:ascii="Times New Roman;Times;Serif" w:hAnsi="Times New Roman;Times;Serif"/>
                <w:b/>
                <w:i w:val="false"/>
                <w:caps w:val="false"/>
                <w:smallCaps w:val="false"/>
                <w:sz w:val="20"/>
                <w:u w:val="single"/>
              </w:rPr>
              <w:t>Subsidiary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u w:val="single"/>
              </w:rPr>
              <w:t>Subsidiaries</w:t>
            </w:r>
            <w:r>
              <w:rPr>
                <w:rFonts w:ascii="Times New Roman;Times;Serif" w:hAnsi="Times New Roman;Times;Serif"/>
                <w:b w:val="false"/>
                <w:i w:val="false"/>
                <w:caps w:val="false"/>
                <w:smallCaps w:val="false"/>
                <w:sz w:val="20"/>
              </w:rPr>
              <w:t>”) is duly organized, validly existing as a corporation and in good standing under the laws of its jurisdiction of incorporation, is duly licensed or qualified as a foreign corporation for transaction of business and in good standing under the laws of each jurisdiction in which its respective ownership or lease of property or the conduct of its respective business requires such license or qualification, and has all corporate power and authority necessary to own or hold its respective properties and to conduct its respective businesses as described in the Registration Statement and the Prospectus, except where the failure to be so qualified or in good standing or have such power or authority would not, individually or in the aggregate, have a Material Adverse Effect. Except as set forth in the Registration Statement and in the Prospectus,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for the entities identified in Exhibit 21 to the Company’s most recent Annual Report on Form 10-K, the Company does not own or control, directly or indirectly, any corporation, association or other entity, which constitutes a “significant subsidiary” within the meaning of Rule 1-02 of Regulation S-X under the Exchange 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Violation or Default</w:t>
            </w:r>
            <w:r>
              <w:rPr>
                <w:rFonts w:ascii="Times New Roman;Times;Serif" w:hAnsi="Times New Roman;Times;Serif"/>
                <w:b w:val="false"/>
                <w:i w:val="false"/>
                <w:caps w:val="false"/>
                <w:smallCaps w:val="false"/>
                <w:sz w:val="20"/>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Governmental Authority, except, in the case of each of clauses (ii) and (iii) above, for any such violation or default that would not, individually or in the aggregate, have a Material Adverse Effect. To the Company’s knowledge, no other party under any material contract or other agreement to which it or any of its Subsidiaries is a party is in default in any respect thereunder where such default would have a Material Adverse Effect.</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Subsequent to the respective dates as of which information is given in the Registration Statement, the Prospectus and the Issuer Free Writing Prospectuses, if any (including any document deemed incorporated by reference therein), there has not been (i) any Material Adverse Effect or the occurrence of any development that could reasonably be expected to result in a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Registration Statement or Prospectus (including any document deemed incorporated by reference therein).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issued and outstanding shares of capital stock of the Company have been validly issued, are fully paid and nonassessable and have been issued in compliance with all federal, state and local securities laws and are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 Company has an authorized, issued and outstanding capitalization as set forth in the Registration Statement and the Prospectus as of the dates referred to therein (other than the grant of additional options under the Company’s existing stock option plans, or changes in the number of outstanding shares of Common Stock of the Company due to the issuance of shares upon the exercise or conversion of securities exercisable for, or convertible into, Common Stock outstanding on the date hereof) and such authorized capital stock conforms to the description thereof set forth in the Registration Statement and the Prospectus. The description of the securities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Authorization of Placement Shares</w:t>
            </w:r>
            <w:r>
              <w:rPr>
                <w:rFonts w:ascii="Times New Roman;Times;Serif" w:hAnsi="Times New Roman;Times;Serif"/>
                <w:b w:val="false"/>
                <w:i w:val="false"/>
                <w:caps w:val="false"/>
                <w:smallCaps w:val="false"/>
                <w:sz w:val="20"/>
              </w:rPr>
              <w:t>. The Placement Shares, when issued and delivered pursuant to the terms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to the description thereof set forth in or incorporated into the Prospectus.</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Consents Required</w:t>
            </w:r>
            <w:r>
              <w:rPr>
                <w:rFonts w:ascii="Times New Roman;Times;Serif" w:hAnsi="Times New Roman;Times;Serif"/>
                <w:b w:val="false"/>
                <w:i w:val="false"/>
                <w:caps w:val="false"/>
                <w:smallCaps w:val="false"/>
                <w:sz w:val="20"/>
              </w:rPr>
              <w:t>. No consent, approval, license, permit, authorization, order, registration or qualification of or with any Governmental Authority is required for the execution, delivery and performance by the Company of this Agreement, the issuance and sale by the Company of the Placement Shares, except for such consents, approvals, licenses, permits, authorizations, orders and registrations or qualifications as have already been obtained or as may be required under applicable state securities laws or by the by-laws and rules of the Financial Industry Regulatory Authority (“</w:t>
            </w:r>
            <w:r>
              <w:rPr>
                <w:rFonts w:ascii="Times New Roman;Times;Serif" w:hAnsi="Times New Roman;Times;Serif"/>
                <w:b/>
                <w:i w:val="false"/>
                <w:caps w:val="false"/>
                <w:smallCaps w:val="false"/>
                <w:sz w:val="20"/>
                <w:u w:val="single"/>
              </w:rPr>
              <w:t>FINRA</w:t>
            </w:r>
            <w:r>
              <w:rPr>
                <w:rFonts w:ascii="Times New Roman;Times;Serif" w:hAnsi="Times New Roman;Times;Serif"/>
                <w:b w:val="false"/>
                <w:i w:val="false"/>
                <w:caps w:val="false"/>
                <w:smallCaps w:val="false"/>
                <w:sz w:val="20"/>
              </w:rPr>
              <w:t>”) or the Exchange in connection with the sale of the Placement Shares by the Agent.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Preferential Rights</w:t>
            </w:r>
            <w:r>
              <w:rPr>
                <w:rFonts w:ascii="Times New Roman;Times;Serif" w:hAnsi="Times New Roman;Times;Serif"/>
                <w:b w:val="false"/>
                <w:i w:val="false"/>
                <w:caps w:val="false"/>
                <w:smallCaps w:val="false"/>
                <w:sz w:val="20"/>
              </w:rPr>
              <w:t>. Except as set forth in the Registration Statement and the Prospectus, (i) no person, as such term is defined in Rule 1-02 of Regulation S-X promulgated under the Securities Act (each, a “</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has the right, contractual or otherwise, to cause the Company to issue or sell to such Person any Common Stock or shares of any other capital stock or other securities of the Company, (ii) no Person 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the Placement Shares hereunder,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Independent Public Accounting Firm</w:t>
            </w:r>
            <w:r>
              <w:rPr>
                <w:rFonts w:ascii="Times New Roman;Times;Serif" w:hAnsi="Times New Roman;Times;Serif"/>
                <w:b w:val="false"/>
                <w:i w:val="false"/>
                <w:caps w:val="false"/>
                <w:smallCaps w:val="false"/>
                <w:sz w:val="20"/>
              </w:rPr>
              <w:t>. DBBMcKennon, LLC (the “</w:t>
            </w:r>
            <w:r>
              <w:rPr>
                <w:rFonts w:ascii="Times New Roman;Times;Serif" w:hAnsi="Times New Roman;Times;Serif"/>
                <w:b/>
                <w:i w:val="false"/>
                <w:caps w:val="false"/>
                <w:smallCaps w:val="false"/>
                <w:sz w:val="20"/>
                <w:u w:val="single"/>
              </w:rPr>
              <w:t>Accountant</w:t>
            </w:r>
            <w:r>
              <w:rPr>
                <w:rFonts w:ascii="Times New Roman;Times;Serif" w:hAnsi="Times New Roman;Times;Serif"/>
                <w:b w:val="false"/>
                <w:i w:val="false"/>
                <w:caps w:val="false"/>
                <w:smallCaps w:val="false"/>
                <w:sz w:val="20"/>
              </w:rPr>
              <w:t>”), whose report on the consolidated financial statements of the Company is filed with the Commission as part of the Company’s most recent Annual Report on Form 10-K filed with the Commission and incorporated by reference into the Registration Statement and the Prospectus, is and, during the periods covered by its report, was an independent registered public accounting firm within the meaning of the Securities Act and the Public Company Accounting Oversight Board (United States). To the Company’s knowledge, the Accountant is not in violation of the auditor independence requirements of the Sarbanes-Oxley Act of 2002 (the “</w:t>
            </w:r>
            <w:r>
              <w:rPr>
                <w:rFonts w:ascii="Times New Roman;Times;Serif" w:hAnsi="Times New Roman;Times;Serif"/>
                <w:b/>
                <w:i w:val="false"/>
                <w:caps w:val="false"/>
                <w:smallCaps w:val="false"/>
                <w:sz w:val="20"/>
                <w:u w:val="single"/>
              </w:rPr>
              <w:t>Sarbanes-Oxley Act</w:t>
            </w:r>
            <w:r>
              <w:rPr>
                <w:rFonts w:ascii="Times New Roman;Times;Serif" w:hAnsi="Times New Roman;Times;Serif"/>
                <w:b w:val="false"/>
                <w:i w:val="false"/>
                <w:caps w:val="false"/>
                <w:smallCaps w:val="false"/>
                <w:sz w:val="20"/>
              </w:rPr>
              <w:t>”) with respect to the Company. The Accountant has not been engaged by the Company to perform any “prohibited activities” or provided to the Company any “non-audit services” (as defined in Section 10A of the Exchange 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Enforceability of Agreements</w:t>
            </w:r>
            <w:r>
              <w:rPr>
                <w:rFonts w:ascii="Times New Roman;Times;Serif" w:hAnsi="Times New Roman;Times;Serif"/>
                <w:b w:val="false"/>
                <w:i w:val="false"/>
                <w:caps w:val="false"/>
                <w:smallCaps w:val="false"/>
                <w:sz w:val="20"/>
              </w:rPr>
              <w:t>. All agreements between the Company and third parties expressly referenced in the Registration Statement and Prospectus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Except as set forth in the Registration Statement or the Prospectus, and except as would not, individually or in the aggregate, have a Material Adverse Effect, there are no actions, suits or proceedings by or before any Governmental Authority pending, nor, to the Company’s knowledge, any audits or investigations by or before any Governmental Authority to which the Company or a Subsidiary is a party or to which any property of the Company or any of its Subsidiaries is the subject and, to the Company’s knowledge, no such actions, suits, proceedings, audits or investigations are threatened or contemplated by any Governmental Authority or threatened by others; and (i) to the Company’s knowledge, there are no current or pending audits or investigations, actions, suits or proceedings by or before any Governmental Authority that are required under the Securities Act to be described in the Registration Statement and Prospectus that are not so described; and (ii) there are no contracts or other documents that are required under the Securities Act to be filed as exhibits to the Registration Statement that are not described in all material respects or filed as required.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Consents and Permits</w:t>
            </w:r>
            <w:r>
              <w:rPr>
                <w:rFonts w:ascii="Times New Roman;Times;Serif" w:hAnsi="Times New Roman;Times;Serif"/>
                <w:b w:val="false"/>
                <w:i w:val="false"/>
                <w:caps w:val="false"/>
                <w:smallCaps w:val="false"/>
                <w:sz w:val="20"/>
              </w:rPr>
              <w:t>. Except as disclosed in the Registration Statement and the Prospectus, the Company and its Subsidiaries have made all filings, applications and submissions required by, possess and are operating in compliance with, all approvals, licenses, certificates, certifications, clearances, consents, grants, exemptions, marks, notifications, orders, permits and other authorizations issued by the appropriate federal, state, local or foreign Governmental Authority necessary for the ownership or lease of their respective properties or to conduct their businesses as described in the Registration Statement and the Prospectus (collectively, “</w:t>
            </w:r>
            <w:r>
              <w:rPr>
                <w:rFonts w:ascii="Times New Roman;Times;Serif" w:hAnsi="Times New Roman;Times;Serif"/>
                <w:b/>
                <w:i w:val="false"/>
                <w:caps w:val="false"/>
                <w:smallCaps w:val="false"/>
                <w:sz w:val="20"/>
                <w:u w:val="single"/>
              </w:rPr>
              <w:t>Permits</w:t>
            </w:r>
            <w:r>
              <w:rPr>
                <w:rFonts w:ascii="Times New Roman;Times;Serif" w:hAnsi="Times New Roman;Times;Serif"/>
                <w:b w:val="false"/>
                <w:i w:val="false"/>
                <w:caps w:val="false"/>
                <w:smallCaps w:val="false"/>
                <w:sz w:val="20"/>
              </w:rPr>
              <w:t>”), except for such Permits the failure of which to possess, obtain or make the same would not have a Material Adverse Effect; the Company and its Subsidiaries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singly or in the aggregate, if the subject of an unfavorable decision, ruling or finding, would have a Material Adverse Effect, or has any reason to believe that any such license, certificate, permit or authorization will not be renewed in the ordinary course.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Except as disclosed in the Registration Statement and the Prospectus, the Company and its Subsidiaries own, possess, license or have other rights to use all foreign and domestic patents, patent applications, trade and service marks, trade and service mark registrations, trade names, copyrights, licenses, inventions, trade secrets, technology, Internet domain names, know-how (including unpatented and/or unpatentable proprietary or confidential information, systems or procedures) and other intellectual property (collectively, the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 necessary for the conduct of their respective businesses as now conducted except to the extent that the failure to own, possess, license or otherwise hold adequate rights to use such Intellectual Property would not, individually or in the aggregate, have a Material Adverse Effect. Except as disclosed in the Registration Statement and the Prospectus (i) there are no rights of third parties to any such Intellectual Property owned by the Company and its Subsidiaries; (ii) to the Company’s knowledge, there is no infringement by third parties of any such Intellectual Property; (iii) there is no pending or, to the Company’s knowledge, threatened action, suit, proceeding or claim by others challenging the Company’s and its Subsidiaries’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and its Subsidiaries infringe or otherwise violate any patent, trademark, copyright, trade secret or other proprietary rights of others; (vi) to the Company’s knowledge, there is no third-party U.S. patent or published U.S. patent application which contains claims for which an Interference Proceeding (as defined in 35 U.S.C. § 135) has been commenced against any patent or patent application described in the Prospectus as being owned by or licensed to the Company; (vii) all employees or contractors engaged in the development of Intellectual Property on behalf of the Company or its Subsidiaries have executed or have an obligation to execute an invention assignment agreement whereby such employees or contractors presently assign all of their right, title and interest in and to such Intellectual Property to the Company or the applicable subsidiary, and to the Company’s knowledge no such agreement has been breached or violated; (viii) the Company and its Subsidiaries use, and have used, commercially reasonable efforts to appropriately maintain all information intended to be maintained as a trade secret; and (ix) the Company and its Subsidiaries have complied with the terms of each agreement pursuant to which Intellectual Property has been licensed to the Company or such Subsidiary, and all such agreements are in full force and effect, except, in the case of any of clauses (i)-(ix) above, for any such infringement by third parties or any such pending or threatened suit, action, proceeding or claim as would not, individually or in the aggregate, result in a Material Adverse Effect.</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Market Capitalization</w:t>
            </w:r>
            <w:r>
              <w:rPr>
                <w:rFonts w:ascii="Times New Roman;Times;Serif" w:hAnsi="Times New Roman;Times;Serif"/>
                <w:b w:val="false"/>
                <w:i w:val="false"/>
                <w:caps w:val="false"/>
                <w:smallCaps w:val="false"/>
                <w:sz w:val="20"/>
              </w:rPr>
              <w:t>. At the time the Registration Statement will be originally declared effective and at the time the Company’s most recent Annual Report on Form 10-K was filed with the Commission, the Company will meet the then applicable requirements for the use of Form S-3 under the Securities Act, including, but not limited to, General Instruction I.B.6 of Form S-3. The aggregate market value of the outstanding voting and non-voting common equity (as defined in Securities Act Rule 405) of the Company held by persons other than affiliates of the Company (pursuant to Securities Act Rule 144, those that directly, or indirectly through one or more intermediaries, control, or are controlled by, or are under common control with, the Company) (the “</w:t>
            </w:r>
            <w:r>
              <w:rPr>
                <w:rFonts w:ascii="Times New Roman;Times;Serif" w:hAnsi="Times New Roman;Times;Serif"/>
                <w:b/>
                <w:i w:val="false"/>
                <w:caps w:val="false"/>
                <w:smallCaps w:val="false"/>
                <w:sz w:val="20"/>
                <w:u w:val="single"/>
              </w:rPr>
              <w:t>Non-Affiliate Shares</w:t>
            </w:r>
            <w:r>
              <w:rPr>
                <w:rFonts w:ascii="Times New Roman;Times;Serif" w:hAnsi="Times New Roman;Times;Serif"/>
                <w:b w:val="false"/>
                <w:i w:val="false"/>
                <w:caps w:val="false"/>
                <w:smallCaps w:val="false"/>
                <w:sz w:val="20"/>
              </w:rPr>
              <w:t>”), was equal to or greater than $[•] million  (calculated by multiplying (x) the highest price at which the common equity of the Company closed on the Exchange within 60 days of the date of this Agreement times (y) the number of Non-Affiliate Shares).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FINRA Matters</w:t>
            </w:r>
            <w:r>
              <w:rPr>
                <w:rFonts w:ascii="Times New Roman;Times;Serif" w:hAnsi="Times New Roman;Times;Serif"/>
                <w:b w:val="false"/>
                <w:i w:val="false"/>
                <w:caps w:val="false"/>
                <w:smallCaps w:val="false"/>
                <w:sz w:val="20"/>
              </w:rPr>
              <w:t>. Neither the Company nor any of the Subsidiaries is required to register as a “broker” or “dealer” in accordance with the provisions of the Exchange Act and do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The information provided to the Agent by the Company, its counsel, and its officers and directors for purposes of the Agent’s compliance with applicable FINRA rules in connection with the offering of the Placement Shares is true, complete, and correct and compliant with FINRA’s rules.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Material Defaults</w:t>
            </w:r>
            <w:r>
              <w:rPr>
                <w:rFonts w:ascii="Times New Roman;Times;Serif" w:hAnsi="Times New Roman;Times;Serif"/>
                <w:b w:val="false"/>
                <w:i w:val="false"/>
                <w:caps w:val="false"/>
                <w:smallCaps w:val="false"/>
                <w:sz w:val="20"/>
              </w:rPr>
              <w:t>. Neither the Company nor any of the Subsidiaries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Market Activities</w:t>
            </w:r>
            <w:r>
              <w:rPr>
                <w:rFonts w:ascii="Times New Roman;Times;Serif" w:hAnsi="Times New Roman;Times;Serif"/>
                <w:b w:val="false"/>
                <w:i w:val="false"/>
                <w:caps w:val="false"/>
                <w:smallCaps w:val="false"/>
                <w:sz w:val="20"/>
              </w:rPr>
              <w:t>. Neither the Company, nor any of the Subsidiaries, nor any of their respective directors, officers or controlling persons has taken, directly or indirectly, (i) any action designed to, or that has constituted or would reasonably be expected to cause or result in, under the Exchange Act or otherwise, the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Company has not relied upon the Agent or legal counsel for the Agent for any legal, tax or accounting advice in connection with the offering and sale of Placement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the Prospectus,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r>
          </w:p>
        </w:tc>
        <w:tc>
          <w:tcPr>
            <w:tcW w:w="98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Title to Real and Personal Property</w:t>
            </w:r>
            <w:r>
              <w:rPr>
                <w:rFonts w:ascii="Times New Roman;Times;Serif" w:hAnsi="Times New Roman;Times;Serif"/>
                <w:b w:val="false"/>
                <w:i w:val="false"/>
                <w:caps w:val="false"/>
                <w:smallCaps w:val="false"/>
                <w:sz w:val="20"/>
              </w:rPr>
              <w:t>. Except as set forth in the Registration Statement or the Prospectus, the Company and its Subsidiaries have good and marketable title in fee simple to all items of real property owned by them, good and valid title to all personal property described in the Registration Statement or Prospectus as being owned by them, in each case free and clear of all liens, encumbrances and claims, except those matters that (i) do not materially interfere with the use made and proposed to be made of such property by the Company and any of its Subsidiaries or (ii) would not, individually or in the aggregate, have a Material Adverse Effect. Any real or personal property described in the Registration Statement or Prospectus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 Each of the properties of the Company and its Subsidiaries complies with all applicable codes, laws and regulations (including, without limitation, building and zoning codes, laws and regulations and laws relating to access to such properties), except if and to the extent disclosed in the Registration Statement or Prospectus or except for such failures to comply that would not, individually or in the aggregate, reasonably be expected to interfere in any material respect with the use made and proposed to be made of such property by the Company and its Subsidiaries or otherwise have a Material Adverse Effect. None of the Company or its Subsidiaries has received from any Governmental Authorities any notice of any condemnation of, or zoning change affecting, the properties of the Company and its Subsidiaries, and to the Company’s knowledge, there is no such condemnation or zoning change which is threatened, except for such that would not reasonably be expected to interfere in any material respect with the use made and proposed to be made of such property by the Company and its Subsidiaries or otherwise have a Material Adverse Effect, individually or in the aggregate.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5"/>
        <w:gridCol w:w="9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Except as set forth in the Registration Statement or the Prospectus,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have a Material Adverse Effect.</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r>
          </w:p>
        </w:tc>
        <w:tc>
          <w:tcPr>
            <w:tcW w:w="98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The Company and each of its Subsidiaries maintain systems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Registration Statement or the Prospectus, the Company’s internal control over financial reporting is effective and the Company is not aware of any material weaknesses in its internal control over financial reporting.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Registration Statement or the Prospectus). The Company has established disclosure controls and procedures (as defined in Exchange Act Rules 13a-15 and 15d-15)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of a date within 90 days prior to the filing date of the Annual Report on Form 10-K for the fiscal year most recently ended (such date, the “</w:t>
            </w:r>
            <w:r>
              <w:rPr>
                <w:rFonts w:ascii="Times New Roman;Times;Serif" w:hAnsi="Times New Roman;Times;Serif"/>
                <w:b/>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Annual Report on Form 10-K for the fiscal year most recently ended the conclusions of the certifying officers about the effectiveness of the disclosure controls and procedures based on their evaluations as of the Evaluation Date and the disclosure controls and procedures are effective.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6"/>
        <w:gridCol w:w="98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r>
          </w:p>
        </w:tc>
        <w:tc>
          <w:tcPr>
            <w:tcW w:w="98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Sarbanes-Oxley</w:t>
            </w:r>
            <w:r>
              <w:rPr>
                <w:rFonts w:ascii="Times New Roman;Times;Serif" w:hAnsi="Times New Roman;Times;Serif"/>
                <w:b w:val="false"/>
                <w:i w:val="false"/>
                <w:caps w:val="false"/>
                <w:smallCaps w:val="false"/>
                <w:sz w:val="20"/>
              </w:rPr>
              <w:t>. 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Neither the Company nor any of the Subsidiaries has incurred any liability for any finder’s fees, brokerage commissions or similar payments in connection with the transactions herein contemplated, except as may otherwise exist with respect to the Agent pursuant to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Labor Disputes</w:t>
            </w:r>
            <w:r>
              <w:rPr>
                <w:rFonts w:ascii="Times New Roman;Times;Serif" w:hAnsi="Times New Roman;Times;Serif"/>
                <w:b w:val="false"/>
                <w:i w:val="false"/>
                <w:caps w:val="false"/>
                <w:smallCaps w:val="false"/>
                <w:sz w:val="20"/>
              </w:rPr>
              <w:t>. No labor disturbance by or dispute with employees of the Company or any of its Subsidiaries exists or, to the knowledge of the Company, is threatened or imminent, and the Company is not aware of any existing, threatened or imminent labor disturbance by the employees of any of its principal suppliers, manufacturers or contractors which would, singly or in the aggregate, result in a Material Adverse Effect on the Company and its Subsidiaries, taken as a whole.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2"/>
        <w:gridCol w:w="98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Times New Roman;Times;Serif" w:hAnsi="Times New Roman;Times;Serif"/>
                <w:b/>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shall conduct its business in a manner so that it will not become an “investment company” subject to registration under the Investment Company 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8"/>
        <w:gridCol w:w="98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w:t>
            </w:r>
          </w:p>
        </w:tc>
        <w:tc>
          <w:tcPr>
            <w:tcW w:w="98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Operations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Authority (collectively, the “</w:t>
            </w:r>
            <w:r>
              <w:rPr>
                <w:rFonts w:ascii="Times New Roman;Times;Serif" w:hAnsi="Times New Roman;Times;Serif"/>
                <w:b/>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Governmental Authority involving the Company or any of its Subsidiaries with respect to the Money Laundering Laws is pending or, to the knowledge of the Company, threatened.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Off-Balance Sheet Arrangements</w:t>
            </w:r>
            <w:r>
              <w:rPr>
                <w:rFonts w:ascii="Times New Roman;Times;Serif" w:hAnsi="Times New Roman;Times;Serif"/>
                <w:b w:val="false"/>
                <w:i w:val="false"/>
                <w:caps w:val="false"/>
                <w:smallCaps w:val="false"/>
                <w:sz w:val="20"/>
              </w:rPr>
              <w:t>. There are no transactions, arrangements and other relationships between and/or among the Company, and/or any of its affiliates and any unconsolidated entity, including, but not limited to, any structured finance, special purpose or limited purpose entity (each, an “</w:t>
            </w:r>
            <w:r>
              <w:rPr>
                <w:rFonts w:ascii="Times New Roman;Times;Serif" w:hAnsi="Times New Roman;Times;Serif"/>
                <w:b/>
                <w:i w:val="false"/>
                <w:caps w:val="false"/>
                <w:smallCaps w:val="false"/>
                <w:sz w:val="20"/>
                <w:u w:val="single"/>
              </w:rPr>
              <w:t>Off-Balance Sheet Transaction</w:t>
            </w:r>
            <w:r>
              <w:rPr>
                <w:rFonts w:ascii="Times New Roman;Times;Serif" w:hAnsi="Times New Roman;Times;Serif"/>
                <w:b w:val="false"/>
                <w:i w:val="false"/>
                <w:caps w:val="false"/>
                <w:smallCaps w:val="false"/>
                <w:sz w:val="20"/>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Registration Statement and the Prospectus which have not been described as required.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Underwriter Agreements</w:t>
            </w:r>
            <w:r>
              <w:rPr>
                <w:rFonts w:ascii="Times New Roman;Times;Serif" w:hAnsi="Times New Roman;Times;Serif"/>
                <w:b w:val="false"/>
                <w:i w:val="false"/>
                <w:caps w:val="false"/>
                <w:smallCaps w:val="false"/>
                <w:sz w:val="20"/>
              </w:rPr>
              <w:t>. Except for the Share Purchase Agreement, dated October 13, 2025, between the Company and New Circle Principal Investments LLC (the “ELOC Agreement”), the Company is not a party to any agreement with an agent or underwriter for any other “at the market”, equity line of credit or other continuous equity transaction.</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w:t>
            </w:r>
          </w:p>
        </w:tc>
        <w:tc>
          <w:tcPr>
            <w:tcW w:w="9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To the knowledge of the Company, each material employee benefit plan, within the meaning of Section 3(3) of the Employee Retirement Income Security Act of 1974, as amended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Times;Serif" w:hAnsi="Times New Roman;Times;Serif"/>
                <w:b/>
                <w:i w:val="false"/>
                <w:caps w:val="false"/>
                <w:smallCaps w:val="false"/>
                <w:sz w:val="20"/>
                <w:u w:val="single"/>
              </w:rPr>
              <w:t>Code</w:t>
            </w:r>
            <w:r>
              <w:rPr>
                <w:rFonts w:ascii="Times New Roman;Times;Serif" w:hAnsi="Times New Roman;Times;Serif"/>
                <w:b w:val="false"/>
                <w:i w:val="false"/>
                <w:caps w:val="false"/>
                <w:smallCaps w:val="false"/>
                <w:sz w:val="20"/>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Each financial or operational projection or other forward-looking statement (within the meaning of Section 27A of the Securities Act and Section 21E of the Exchange Act) (a “</w:t>
            </w:r>
            <w:r>
              <w:rPr>
                <w:rFonts w:ascii="Times New Roman;Times;Serif" w:hAnsi="Times New Roman;Times;Serif"/>
                <w:b/>
                <w:i w:val="false"/>
                <w:caps w:val="false"/>
                <w:smallCaps w:val="false"/>
                <w:sz w:val="20"/>
                <w:u w:val="single"/>
              </w:rPr>
              <w:t>Forward-Looking Statement</w:t>
            </w:r>
            <w:r>
              <w:rPr>
                <w:rFonts w:ascii="Times New Roman;Times;Serif" w:hAnsi="Times New Roman;Times;Serif"/>
                <w:b w:val="false"/>
                <w:i w:val="false"/>
                <w:caps w:val="false"/>
                <w:smallCaps w:val="false"/>
                <w:sz w:val="20"/>
              </w:rPr>
              <w:t>”) contained in the Registration Statement and the Prospectus (i) was so included by the Company in good faith and with a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Forward-Looking Statement was made with the knowledge of a director or executive officer of the Company that was false or misleading.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w:t>
            </w:r>
          </w:p>
        </w:tc>
        <w:tc>
          <w:tcPr>
            <w:tcW w:w="97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Agent Purchases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Research Analyst Independence</w:t>
            </w:r>
            <w:r>
              <w:rPr>
                <w:rFonts w:ascii="Times New Roman;Times;Serif" w:hAnsi="Times New Roman;Times;Serif"/>
                <w:b w:val="false"/>
                <w:i w:val="false"/>
                <w:caps w:val="false"/>
                <w:smallCaps w:val="false"/>
                <w:sz w:val="20"/>
              </w:rPr>
              <w:t>.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The Company further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contemplated by this Agreement that differ from the views of their respective investment banking divisions.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9"/>
        <w:gridCol w:w="98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w:t>
            </w:r>
          </w:p>
        </w:tc>
        <w:tc>
          <w:tcPr>
            <w:tcW w:w="98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7"/>
        <w:gridCol w:w="98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c>
          <w:tcPr>
            <w:tcW w:w="98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each of its Subsidiaries carry, or are covered by, insurance in such amounts and covering such risks as the Company and each of its Subsidiaries reasonably believe are adequate for the conduct of their properties and as is customary for companies engaged in similar businesses in similar industries. Neither the Company nor its Subsidiaries has been refused any insurance coverage sought or applied for. Neither the Company nor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singly or in the aggregate, have a Material Adverse Effect on the Company and its Subsidiaries, taken as a whole.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1"/>
        <w:gridCol w:w="98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w:t>
            </w:r>
          </w:p>
        </w:tc>
        <w:tc>
          <w:tcPr>
            <w:tcW w:w="98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Improper Practices</w:t>
            </w:r>
            <w:r>
              <w:rPr>
                <w:rFonts w:ascii="Times New Roman;Times;Serif" w:hAnsi="Times New Roman;Times;Serif"/>
                <w:b w:val="false"/>
                <w:i w:val="false"/>
                <w:caps w:val="false"/>
                <w:smallCaps w:val="false"/>
                <w:sz w:val="20"/>
              </w:rPr>
              <w:t>. (i) Neither the Company nor the Subsidiaries, nor any director, officer, or employee of the Company or any Subsidiary nor, to the Company’s knowledge, any agent, affiliate or other person acting on behalf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Registration Statement and the Prospectus; (ii) no relationship, direct or indirect, exists between or among the Company or any Subsidiary or any affiliate of any of them, on the one hand, and the directors, officers and stockholders of the Company or any Subsidiary, on the other hand, that is required by the Securities Act to be described in the Registration Statement and the Prospectus that is not so described; (iii) except as described in the Registration Statement and the Prospectus, there are no material outstanding loans or advances or material guarantees of indebtedness by the Company or any Subsidiary to or for the benefit of any of their respective officers or directors or any of the members of the families of any of them; and (iv) the Company has not offered, or 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 neither the Company nor any Subsidiary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as amended, the UK Bribery Act 2010, as amended, or any other applicable anti-bribery or anti-corruption law (collectively, “</w:t>
            </w:r>
            <w:r>
              <w:rPr>
                <w:rFonts w:ascii="Times New Roman;Times;Serif" w:hAnsi="Times New Roman;Times;Serif"/>
                <w:b/>
                <w:i w:val="false"/>
                <w:caps w:val="false"/>
                <w:smallCaps w:val="false"/>
                <w:sz w:val="20"/>
                <w:u w:val="single"/>
              </w:rPr>
              <w:t>Anti-Corruption Laws</w:t>
            </w:r>
            <w:r>
              <w:rPr>
                <w:rFonts w:ascii="Times New Roman;Times;Serif" w:hAnsi="Times New Roman;Times;Serif"/>
                <w:b w:val="false"/>
                <w:i w:val="false"/>
                <w:caps w:val="false"/>
                <w:smallCaps w:val="false"/>
                <w:sz w:val="20"/>
              </w:rPr>
              <w:t>”),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 The Company and its Subsidiaries and, to the knowledge of the Company, the Company’s affiliates have conducted their respective businesses in compliance with the Anti-Corruption Laws and have instituted and maintain policies and procedures designed to ensure, and which are reasonably expected to continue to ensure, continued compliance therewith.</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6"/>
        <w:gridCol w:w="981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w:t>
            </w:r>
          </w:p>
        </w:tc>
        <w:tc>
          <w:tcPr>
            <w:tcW w:w="98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Status Under the Securities Act</w:t>
            </w:r>
            <w:r>
              <w:rPr>
                <w:rFonts w:ascii="Times New Roman;Times;Serif" w:hAnsi="Times New Roman;Times;Serif"/>
                <w:b w:val="false"/>
                <w:i w:val="false"/>
                <w:caps w:val="false"/>
                <w:smallCaps w:val="false"/>
                <w:sz w:val="20"/>
              </w:rPr>
              <w:t>. The Company was not and is not an ineligible issuer as defined in Rule 405 under the Securities Act at the times specified in Rules 164 and 433 under the Securities Act in connection with the offering of the Placement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Misstatement or Omission in an Issuer Free Writing Prospectus</w:t>
            </w:r>
            <w:r>
              <w:rPr>
                <w:rFonts w:ascii="Times New Roman;Times;Serif" w:hAnsi="Times New Roman;Times;Serif"/>
                <w:b w:val="false"/>
                <w:i w:val="false"/>
                <w:caps w:val="false"/>
                <w:smallCaps w:val="false"/>
                <w:sz w:val="20"/>
              </w:rPr>
              <w:t>. Each Issuer Free Writing Prospectus,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Neither the execution of this Agreement, nor the issuance, offering or sale of the Placement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(i) The Company represents that, neither the Company nor any of its Subsidiaries (collectively, the “</w:t>
            </w:r>
            <w:r>
              <w:rPr>
                <w:rFonts w:ascii="Times New Roman;Times;Serif" w:hAnsi="Times New Roman;Times;Serif"/>
                <w:b/>
                <w:i w:val="false"/>
                <w:caps w:val="false"/>
                <w:smallCaps w:val="false"/>
                <w:sz w:val="20"/>
                <w:u w:val="single"/>
              </w:rPr>
              <w:t>Entity</w:t>
            </w:r>
            <w:r>
              <w:rPr>
                <w:rFonts w:ascii="Times New Roman;Times;Serif" w:hAnsi="Times New Roman;Times;Serif"/>
                <w:b w:val="false"/>
                <w:i w:val="false"/>
                <w:caps w:val="false"/>
                <w:smallCaps w:val="false"/>
                <w:sz w:val="20"/>
              </w:rPr>
              <w:t>”) or any director, officer, employee, agent, affiliate or representative of the Entity, is a government, individual, or entity (in this paragraph (Viv), “</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that is, or is owned or controlled by a Person that is: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 of any sanctions administered or enforced by the U.S. Department of Treasury’s Office of Foreign Assets Control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the European Union, His Majesty’s Treasury, or other relevant sanctions authorities, including, without limitation, designation on OFAC’s Specially Designated Nationals and Blocked Persons List or OFAC’s Foreign Sanctions Evaders List (as amended, collectively, “</w:t>
            </w:r>
            <w:r>
              <w:rPr>
                <w:rFonts w:ascii="Times New Roman;Times;Serif" w:hAnsi="Times New Roman;Times;Serif"/>
                <w:b/>
                <w:i w:val="false"/>
                <w:caps w:val="false"/>
                <w:smallCaps w:val="false"/>
                <w:sz w:val="20"/>
                <w:u w:val="single"/>
              </w:rPr>
              <w:t>Sanctions</w:t>
            </w:r>
            <w:r>
              <w:rPr>
                <w:rFonts w:ascii="Times New Roman;Times;Serif" w:hAnsi="Times New Roman;Times;Serif"/>
                <w:b w:val="false"/>
                <w:i w:val="false"/>
                <w:caps w:val="false"/>
                <w:smallCaps w:val="false"/>
                <w:sz w:val="20"/>
              </w:rPr>
              <w:t>”), nor</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located, organized or resident in a country or territory that is the subject of Sanctions that broadly prohibit dealings with that country or territory (including, without limitation, Cuba, Iran, North Korea, Syria, the so-called Donetsk People’s Republic, the so-called Luhansk People’s Republic, the Crimea Region of Ukraine, the non-government controlled areas of the Zaporizhzhia and Kherson Regions of Ukraine (or any other Covered Region of Ukraine identified pursuant to Executive Order 14065)) (the “</w:t>
            </w:r>
            <w:r>
              <w:rPr>
                <w:rFonts w:ascii="Times New Roman;Times;Serif" w:hAnsi="Times New Roman;Times;Serif"/>
                <w:b/>
                <w:i w:val="false"/>
                <w:caps w:val="false"/>
                <w:smallCaps w:val="false"/>
                <w:sz w:val="20"/>
                <w:u w:val="single"/>
              </w:rPr>
              <w:t>Sanctioned Countries</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covenants that the Entity will not, directly or indirectly, use the proceeds of the offering, or lend, contribute or otherwise make available such proceeds to any subsidiary, joint venture partner or other Person: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fund or facilitate any activities or business of or with any Person or in any country or territory that, at the time of such funding or facilitation, is the subject of Sanctions or is a Sanctioned Country;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3"/>
        <w:gridCol w:w="987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that will result in a violation of Sanctions by any Person (including any Person participating in the offering, whether as underwriter, advisor, investor or otherwise).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covenants that, except as detailed in the Registration Statement and the Prospectus, during the applicable statute of limitations period, it has not engaged in, is not now engaging in, and will not engage in, any dealings or transactions with any Person, or in any country or territory, that at the time of the dealing or transaction is or was the subject of Sanctions or is or was a Sanctioned Country.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3"/>
        <w:gridCol w:w="98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w:t>
            </w:r>
          </w:p>
        </w:tc>
        <w:tc>
          <w:tcPr>
            <w:tcW w:w="98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Export Compliance</w:t>
            </w:r>
            <w:r>
              <w:rPr>
                <w:rFonts w:ascii="Times New Roman;Times;Serif" w:hAnsi="Times New Roman;Times;Serif"/>
                <w:b w:val="false"/>
                <w:i w:val="false"/>
                <w:caps w:val="false"/>
                <w:smallCaps w:val="false"/>
                <w:sz w:val="20"/>
              </w:rPr>
              <w:t>. The Company and each of its subsidiaries has not, nor has any director, officer, agent, employee or other Person acting on behalf of the Company or any of its subsidiaries violated or failed to comply with any applicable law related to the export or reexport of goods (including hardware, software, technology and data), services and know-how except in such cases as would not reasonably be expected, individually or in the aggregate, to have a Material Adverse Effect.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8"/>
        <w:gridCol w:w="982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w:t>
            </w:r>
          </w:p>
        </w:tc>
        <w:tc>
          <w:tcPr>
            <w:tcW w:w="98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Transfer Taxes</w:t>
            </w:r>
            <w:r>
              <w:rPr>
                <w:rFonts w:ascii="Times New Roman;Times;Serif" w:hAnsi="Times New Roman;Times;Serif"/>
                <w:b w:val="false"/>
                <w:i w:val="false"/>
                <w:caps w:val="false"/>
                <w:smallCaps w:val="false"/>
                <w:sz w:val="20"/>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58"/>
        <w:gridCol w:w="977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t>
            </w:r>
          </w:p>
        </w:tc>
        <w:tc>
          <w:tcPr>
            <w:tcW w:w="97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and each of its Subsidiaries are in compliance with all applicable laws, regulations and statutes (including all environmental laws and regulations) in the jurisdictions in which it carries on business; the Company has not received a notice of non-compliance, nor knows of, nor has reasonable grounds to know of, any facts that could give rise to a notice of non-compliance with any such laws, regulations and statutes, and is not aware of any pending change or contemplated change to any applicable law or regulation or governmental position; in each case that would materially adversely affect the business of the Company or the business or legal environment under which the Company operates.</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4"/>
        <w:gridCol w:w="98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w:t>
            </w:r>
          </w:p>
        </w:tc>
        <w:tc>
          <w:tcPr>
            <w:tcW w:w="98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Statistical and Market-Related Data</w:t>
            </w:r>
            <w:r>
              <w:rPr>
                <w:rFonts w:ascii="Times New Roman;Times;Serif" w:hAnsi="Times New Roman;Times;Serif"/>
                <w:b w:val="false"/>
                <w:i w:val="false"/>
                <w:caps w:val="false"/>
                <w:smallCaps w:val="false"/>
                <w:sz w:val="20"/>
              </w:rPr>
              <w:t>.  The statistical, demographic and market-related data included in the Registration Statement and Prospectus are based on or derived from sources that the Company believes to be reliable and accurate or represent the Company’s good faith estimates that are made on the basis of data derived from such sources and the Company has obtained the written consent to the use of such data from such sources to the extent required.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The Company and its Subsidiaries’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u w:val="single"/>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each of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Data” (defined below) and all sensitive, confidential or regulated data (“</w:t>
            </w:r>
            <w:r>
              <w:rPr>
                <w:rFonts w:ascii="Times New Roman;Times;Serif" w:hAnsi="Times New Roman;Times;Serif"/>
                <w:b/>
                <w:i w:val="false"/>
                <w:caps w:val="false"/>
                <w:smallCaps w:val="false"/>
                <w:sz w:val="20"/>
                <w:u w:val="single"/>
              </w:rPr>
              <w:t>Confidential Data</w:t>
            </w:r>
            <w:r>
              <w:rPr>
                <w:rFonts w:ascii="Times New Roman;Times;Serif" w:hAnsi="Times New Roman;Times;Serif"/>
                <w:b w:val="false"/>
                <w:i w:val="false"/>
                <w:caps w:val="false"/>
                <w:smallCaps w:val="false"/>
                <w:sz w:val="20"/>
              </w:rPr>
              <w:t>”) used in connection with their businesses. “</w:t>
            </w:r>
            <w:r>
              <w:rPr>
                <w:rFonts w:ascii="Times New Roman;Times;Serif" w:hAnsi="Times New Roman;Times;Serif"/>
                <w:b/>
                <w:i w:val="false"/>
                <w:caps w:val="false"/>
                <w:smallCaps w:val="false"/>
                <w:sz w:val="20"/>
                <w:u w:val="single"/>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Times;Serif" w:hAnsi="Times New Roman;Times;Serif"/>
                <w:b/>
                <w:i w:val="false"/>
                <w:caps w:val="false"/>
                <w:smallCaps w:val="false"/>
                <w:sz w:val="20"/>
                <w:u w:val="single"/>
              </w:rPr>
              <w:t>HIPAA</w:t>
            </w:r>
            <w:r>
              <w:rPr>
                <w:rFonts w:ascii="Times New Roman;Times;Serif" w:hAnsi="Times New Roman;Times;Serif"/>
                <w:b w:val="false"/>
                <w:i w:val="false"/>
                <w:caps w:val="false"/>
                <w:smallCaps w:val="false"/>
                <w:sz w:val="20"/>
              </w:rPr>
              <w:t>”); (v) any “personal information” as defined by the California Consumer Privacy Act (“</w:t>
            </w:r>
            <w:r>
              <w:rPr>
                <w:rFonts w:ascii="Times New Roman;Times;Serif" w:hAnsi="Times New Roman;Times;Serif"/>
                <w:b/>
                <w:i w:val="false"/>
                <w:caps w:val="false"/>
                <w:smallCaps w:val="false"/>
                <w:sz w:val="20"/>
                <w:u w:val="single"/>
              </w:rPr>
              <w:t>CCPA</w:t>
            </w:r>
            <w:r>
              <w:rPr>
                <w:rFonts w:ascii="Times New Roman;Times;Serif" w:hAnsi="Times New Roman;Times;Serif"/>
                <w:b w:val="false"/>
                <w:i w:val="false"/>
                <w:caps w:val="false"/>
                <w:smallCaps w:val="false"/>
                <w:sz w:val="20"/>
              </w:rPr>
              <w:t>”); and (vi)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Confidential Data, and Personal Data and to the protection of such IT Systems, Confidential Data, and Personal Data from unauthorized use, access, misappropriation or modification.</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The Company and its Subsidiaries are, and at all prior times were, in material compliance with all applicable state and federal data privacy and security laws and regulations, including without limitation HIPAA, CCPA, and the European Union General Data Protection Regulation (“</w:t>
            </w:r>
            <w:r>
              <w:rPr>
                <w:rFonts w:ascii="Times New Roman;Times;Serif" w:hAnsi="Times New Roman;Times;Serif"/>
                <w:b/>
                <w:i w:val="false"/>
                <w:caps w:val="false"/>
                <w:smallCaps w:val="false"/>
                <w:sz w:val="20"/>
                <w:u w:val="single"/>
              </w:rPr>
              <w:t>GDPR</w:t>
            </w:r>
            <w:r>
              <w:rPr>
                <w:rFonts w:ascii="Times New Roman;Times;Serif" w:hAnsi="Times New Roman;Times;Serif"/>
                <w:b w:val="false"/>
                <w:i w:val="false"/>
                <w:caps w:val="false"/>
                <w:smallCaps w:val="false"/>
                <w:sz w:val="20"/>
              </w:rPr>
              <w:t>”) (EU 2016/679) (collectively, the “</w:t>
            </w:r>
            <w:r>
              <w:rPr>
                <w:rFonts w:ascii="Times New Roman;Times;Serif" w:hAnsi="Times New Roman;Times;Serif"/>
                <w:b/>
                <w:i w:val="false"/>
                <w:caps w:val="false"/>
                <w:smallCaps w:val="false"/>
                <w:sz w:val="20"/>
                <w:u w:val="single"/>
              </w:rPr>
              <w:t>Privacy Laws</w:t>
            </w:r>
            <w:r>
              <w:rPr>
                <w:rFonts w:ascii="Times New Roman;Times;Serif" w:hAnsi="Times New Roman;Times;Serif"/>
                <w:b w:val="false"/>
                <w:i w:val="false"/>
                <w:caps w:val="false"/>
                <w:smallCaps w:val="false"/>
                <w:sz w:val="20"/>
              </w:rPr>
              <w:t>”). To ensure compliance with the Privacy Laws, the Company has in place, complies with, and takes appropriate steps to ensure compliance in all material respects with their policies and procedures relating to data privacy and security and the collection, storage, use, processing, disclosure, handling, and analysis of Personal Data and Confidential Data (the “</w:t>
            </w:r>
            <w:r>
              <w:rPr>
                <w:rFonts w:ascii="Times New Roman;Times;Serif" w:hAnsi="Times New Roman;Times;Serif"/>
                <w:b/>
                <w:i w:val="false"/>
                <w:caps w:val="false"/>
                <w:smallCaps w:val="false"/>
                <w:sz w:val="20"/>
                <w:u w:val="single"/>
              </w:rPr>
              <w:t>Policies</w:t>
            </w:r>
            <w:r>
              <w:rPr>
                <w:rFonts w:ascii="Times New Roman;Times;Serif" w:hAnsi="Times New Roman;Times;Serif"/>
                <w:b w:val="false"/>
                <w:i w:val="false"/>
                <w:caps w:val="false"/>
                <w:smallCaps w:val="false"/>
                <w:sz w:val="20"/>
              </w:rPr>
              <w:t>”). The Company has at all times made all disclosures to users or customers required by applicable laws and regulatory rules or requirements, and none of such disclosures made or contained in any Policy have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71"/>
        <w:gridCol w:w="975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w:t>
            </w:r>
          </w:p>
        </w:tc>
        <w:tc>
          <w:tcPr>
            <w:tcW w:w="97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Emerging Growth Company Status</w:t>
            </w:r>
            <w:r>
              <w:rPr>
                <w:rFonts w:ascii="Times New Roman;Times;Serif" w:hAnsi="Times New Roman;Times;Serif"/>
                <w:b w:val="false"/>
                <w:i w:val="false"/>
                <w:caps w:val="false"/>
                <w:smallCaps w:val="false"/>
                <w:sz w:val="20"/>
              </w:rPr>
              <w:t>. From the time of the initial filing of the Company’s first registration statement with the Commission through the date hereof, the Company has been and is an “emerging growth company,” as defined in Section 2(a) of the Securities Act (an “</w:t>
            </w:r>
            <w:r>
              <w:rPr>
                <w:rFonts w:ascii="Times New Roman;Times;Serif" w:hAnsi="Times New Roman;Times;Serif"/>
                <w:b/>
                <w:i w:val="false"/>
                <w:caps w:val="false"/>
                <w:smallCaps w:val="false"/>
                <w:sz w:val="20"/>
                <w:u w:val="single"/>
              </w:rPr>
              <w:t>Emerging Growth Company</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3"/>
        <w:gridCol w:w="97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w:t>
            </w:r>
          </w:p>
        </w:tc>
        <w:tc>
          <w:tcPr>
            <w:tcW w:w="97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Outbound Investment Security Program</w:t>
            </w:r>
            <w:r>
              <w:rPr>
                <w:rFonts w:ascii="Times New Roman;Times;Serif" w:hAnsi="Times New Roman;Times;Serif"/>
                <w:b w:val="false"/>
                <w:i w:val="false"/>
                <w:caps w:val="false"/>
                <w:smallCaps w:val="false"/>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(“Covered Activity”).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tc>
      </w:tr>
    </w:tbl>
    <w:p>
      <w:pPr>
        <w:pStyle w:val="TextBody"/>
        <w:bidi w:val="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410"/>
        <w:gridCol w:w="8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The Company is not in or subject to a bankruptcy or insolvency proceeding in any jurisdiction.</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185"/>
        <w:gridCol w:w="693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the Agent that: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Statement Amendments</w:t>
            </w:r>
            <w:r>
              <w:rPr>
                <w:rFonts w:ascii="Times New Roman;Times;Serif" w:hAnsi="Times New Roman;Times;Serif"/>
                <w:b w:val="false"/>
                <w:i w:val="false"/>
                <w:caps w:val="false"/>
                <w:smallCaps w:val="false"/>
                <w:sz w:val="20"/>
              </w:rPr>
              <w:t>.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 or similar rule), (i) the Company will notify the Agent promptly of the time when any subsequent amendment to the Registration Statement has been filed with the Commission and/or has become effective, any Rule 462(b) Registration Statement has been filed with the Commission or any subsequent supplement to the Prospectus has been filed and of any request by the Commission for any amendment or supplement to the Registration Statement or Prospectus or for additional information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obligated to notify the Agent of the filing of any Incorporated Documents which do not discuss this Agreement, the Placement or the Agent),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failure of the Agent to make such request shall not relieve the Company of any obligation or liability hereunder, or affect the Agent’s right to rely on the representations and warranties made by the Company in this Agreement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the only remedy the Agent shall have with respect to the failure by the Company to make such filing (but without limiting the Agent’s rights under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hereof) shall be to cease making sales under this Agreement until such amendment or supplement is filed); (iii) the Company will not file any amendment or supplement to the Registration Statement or Prospectus or any Rule 462(b) Registration Statement relating to the Placement Shares or a security convertible into or exchangeable or exercisable for the Placement Shares unless a copy thereof has been submitted to the Agent within a reasonable period of time before the filing and the Agent has not objected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failure of the Agent to make such objection shall not relieve the Company of any obligation or liability hereunder, or affect the Agent’s right to rely on the representations and warranties made by the Company in this Agreement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the only remedy the Agent shall have with respect to the failure by the Company to obtain such consent (but without limiting the Agent’s rights under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hereof) shall be to cease making sales under this Agreement) and the Company will furnish to the Agent at the time of filing thereof a copy of any Incorporated Documents, except for those documents available via EDGAR; and (iv) the Company will cause each amendment or supplement to the Prospectus to be filed with the Commission as required pursuant to the applicable paragraph of Rule 424(b) of the Securities Act or, in the case of Incorporated Documents, to be filed with the Commission as required pursuant to the Exchange Act, within the time period prescribed (the determination to file or not file any amendment or supplement with the Commission under this </w:t>
            </w:r>
            <w:r>
              <w:rPr>
                <w:rFonts w:ascii="Times New Roman;Times;Serif" w:hAnsi="Times New Roman;Times;Serif"/>
                <w:b w:val="false"/>
                <w:i w:val="false"/>
                <w:caps w:val="false"/>
                <w:smallCaps w:val="false"/>
                <w:sz w:val="20"/>
                <w:u w:val="single"/>
              </w:rPr>
              <w:t>Section 7(a)</w:t>
            </w:r>
            <w:r>
              <w:rPr>
                <w:rFonts w:ascii="Times New Roman;Times;Serif" w:hAnsi="Times New Roman;Times;Serif"/>
                <w:b w:val="false"/>
                <w:i w:val="false"/>
                <w:caps w:val="false"/>
                <w:smallCaps w:val="false"/>
                <w:sz w:val="20"/>
              </w:rPr>
              <w:t>, based on the Company’s reasonable opinion or reasonable objections, shall be made exclusively by the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of Commission Stop Orders</w:t>
            </w:r>
            <w:r>
              <w:rPr>
                <w:rFonts w:ascii="Times New Roman;Times;Serif" w:hAnsi="Times New Roman;Times;Serif"/>
                <w:b w:val="false"/>
                <w:i w:val="false"/>
                <w:caps w:val="false"/>
                <w:smallCaps w:val="false"/>
                <w:sz w:val="20"/>
              </w:rPr>
              <w:t>. The Company will advise the Agent, promptly after it receives notice or obtains knowledge thereof, of the issuance or threatened issuance by the Commission of any stop order suspending the effectiveness of the Registration Statement or any Rule 462(b)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Rule 462(b) Registration Statement or any amendment or supplements to the Prospectus or any Issuer Free Writing Prospectus or for additional information related to the offering of the Placement Shares or for additional information related to the Registration Statement, any Rule 462(b) Registration Statement, the Prospectus or any Issuer Free Writing Prospectus.</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During any period in which a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 will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the Agent promptly of all such filings and to notify the Agent promptly of all such filings if not available on EDGAR. If during such period any event occurs as a result of which the Prospectus as then amended or supplemented would include an untrue statement of a material fact or omit to state a material fact necessary in order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only remedy the Agent shall have with respect to the failure by the Company to file such amendment or supplement to the Registration Statement or Prospectus (but without limiting the Agent’s rights under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hereof) shall be to cease making sales under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Listing of Placement Shares</w:t>
            </w:r>
            <w:r>
              <w:rPr>
                <w:rFonts w:ascii="Times New Roman;Times;Serif" w:hAnsi="Times New Roman;Times;Serif"/>
                <w:b w:val="false"/>
                <w:i w:val="false"/>
                <w:caps w:val="false"/>
                <w:smallCaps w:val="false"/>
                <w:sz w:val="20"/>
              </w:rPr>
              <w:t>. During any period in which the Prospectus relating to the Placement Shares is required to be delivered by the Agent under the Securities Act with respect to a pending sale of the Placement Shares (including in circumstances where such requirement may be satisfied pursuant to Rule 172 under the Securities Act), the Company will use its reasonable best efforts to cause the Placement Shares to be listed on the Exchange.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a Prospectus relating to the Placement Shares is required to be delivered under the Securities Act (including all Incorporated Documents),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required to furnish any document (other than the Prospectus) to the Agent to the extent such document is available on EDGAR.</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Earning Statement</w:t>
            </w:r>
            <w:r>
              <w:rPr>
                <w:rFonts w:ascii="Times New Roman;Times;Serif" w:hAnsi="Times New Roman;Times;Serif"/>
                <w:b w:val="false"/>
                <w:i w:val="false"/>
                <w:caps w:val="false"/>
                <w:smallCaps w:val="false"/>
                <w:sz w:val="20"/>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as described in the Prospectus in the section entitled “Use of Proceeds.”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Without the prior written consent of the Agent, the Company will not, directly or indirectly, offer to sell, sell, contract to sell, grant any option to sell or otherwise dispose of any Common Stock (other than the Placement Shares offered pursuant to this Agreement) or securities convertible into or exchangeable or exercisable for Common Stock, warrants or any rights to purchase or acquire, Common Stock during the period beginning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immediately prior to the date on which any Placement Notice is delivered to the Agent hereunder and ending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equity line of credit or other continuous equity transaction offer to sell, sell, contract to sell, grant any option to sell or otherwise dispose of any Common Stock (other than the Placement Shares offered pursuant to this Agreement) or securities convertible into or exchangeable or exercisable for Common Stock, warrants or any rights to purchase or acquire, Common Stock prior to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immediately following the termination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restrictions will not be required in connection with the Company’s issuance or sale of (i) Common Stock, options to purchase Common Stock or Common Stock issuable upon the exercise of options,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the Agent and (iii) Common Stock or securities convertible into or exchangeable or exercisable for shares of Common Stock as consideration for mergers, acquisitions, other business combinations or strategic alliances occurring after the date of this Agreement which are not issued for capital raising purposes.</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a fiscal quarter in which the Company intends to tender a Placement Notice or sell Placement Shares, advise the Agent promptly after it shall have received notice or obtained knowledge thereof, of any information or fact that would alter or affect in any material respect any opinion, certificate, letter or other document provided or required to be provided to the Agent pursuant to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or via remote digital access, as the Agent may reasonably request.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Required Filings Relating to Placement of Placement Shares</w:t>
            </w:r>
            <w:r>
              <w:rPr>
                <w:rFonts w:ascii="Times New Roman;Times;Serif" w:hAnsi="Times New Roman;Times;Serif"/>
                <w:b w:val="false"/>
                <w:i w:val="false"/>
                <w:caps w:val="false"/>
                <w:smallCaps w:val="false"/>
                <w:sz w:val="20"/>
              </w:rPr>
              <w:t>. The Company shall disclose, in its Quarterly Reports on Form 10-Q and in its Annual Report on Form 10-K to be filed by the Company with the Commission from time to time, the number of the Placement Shares sold through the Agent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The Company agrees that on such dates as the Securities Act shall require, the Company will (i) file a prospectus supplement with the Commission under the applicable paragraph of Rule 424(b) under the Securities Act (each and every filing date under Rule 424(b), a “</w:t>
            </w:r>
            <w:r>
              <w:rPr>
                <w:rFonts w:ascii="Times New Roman;Times;Serif" w:hAnsi="Times New Roman;Times;Serif"/>
                <w:b/>
                <w:i w:val="false"/>
                <w:caps w:val="false"/>
                <w:smallCaps w:val="false"/>
                <w:sz w:val="20"/>
                <w:u w:val="single"/>
              </w:rPr>
              <w:t>Filing Date</w:t>
            </w:r>
            <w:r>
              <w:rPr>
                <w:rFonts w:ascii="Times New Roman;Times;Serif" w:hAnsi="Times New Roman;Times;Serif"/>
                <w:b w:val="false"/>
                <w:i w:val="false"/>
                <w:caps w:val="false"/>
                <w:smallCaps w:val="false"/>
                <w:sz w:val="20"/>
              </w:rPr>
              <w:t>”), which prospectus supplement will set forth, within the relevant period, the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w:t>
            </w:r>
          </w:p>
        </w:tc>
      </w:tr>
    </w:tbl>
    <w:p>
      <w:pPr>
        <w:pStyle w:val="TextBody"/>
        <w:bidi w:val="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200"/>
        <w:gridCol w:w="9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(1) Prior to the date of the first Placement Notice and (2) each time the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files an Annual Report on Form 10-K under the Exchange Act (including any Form 10-K/A containing amended financial information or a material amendment to the previously filed Form 10-K);</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files its Quarterly Reports on Form 10-Q under the Exchange Act (including any Form 10-Q/A containing amended financial information or a material amendment to the previously filed Form 10-Q);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3"/>
        <w:gridCol w:w="987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files a Current Report on Form 8-K containing (x) amended financial information (other than information “furnished” pursuant to Items 2.02 or 7.01 of a Current Report on Form 8-K or to provide disclosure pursuant to Item 8.01 of a Current Report on Form 8-K relating to the reclassification of certain properties as discontinued operations in accordance with Statement of Financial Accounting Standards No. 144) or (y) disclosing any material transaction requiring the filing of historical or pro forma financial statements under Item 9.01 of Form 8-K and subject to the guidance set forth in Section 2050.3 of the Financial Reporting Manual of the Commission under the Exchange Act (each date of filing of one or more of the documents referred to in clauses (i) through (iv) shall be a “</w:t>
            </w:r>
            <w:r>
              <w:rPr>
                <w:rFonts w:ascii="Times New Roman;Times;Serif" w:hAnsi="Times New Roman;Times;Serif"/>
                <w:b/>
                <w:i w:val="false"/>
                <w:caps w:val="false"/>
                <w:smallCaps w:val="false"/>
                <w:sz w:val="20"/>
                <w:u w:val="single"/>
              </w:rPr>
              <w:t>Representation Date</w:t>
            </w:r>
            <w:r>
              <w:rPr>
                <w:rFonts w:ascii="Times New Roman;Times;Serif" w:hAnsi="Times New Roman;Times;Serif"/>
                <w:b w:val="false"/>
                <w:i w:val="false"/>
                <w:caps w:val="false"/>
                <w:smallCaps w:val="false"/>
                <w:sz w:val="20"/>
              </w:rPr>
              <w:t>”);</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furnish the Agent (but in the case of clause (iv) above only if the Agent reasonably determines that the information contained in such Form 8-K is material) with a certificate dated the Representation Date, in the form attached hereto as </w:t>
      </w:r>
      <w:r>
        <w:rPr>
          <w:rFonts w:ascii="Times New Roman;Times;Serif" w:hAnsi="Times New Roman;Times;Serif"/>
          <w:b w:val="false"/>
          <w:i w:val="false"/>
          <w:caps w:val="false"/>
          <w:smallCaps w:val="false"/>
          <w:sz w:val="20"/>
          <w:u w:val="single"/>
        </w:rPr>
        <w:t>Exhibit 7(l)</w:t>
      </w:r>
      <w:r>
        <w:rPr>
          <w:rFonts w:ascii="Times New Roman;Times;Serif" w:hAnsi="Times New Roman;Times;Serif"/>
          <w:b w:val="false"/>
          <w:i w:val="false"/>
          <w:caps w:val="false"/>
          <w:smallCaps w:val="false"/>
          <w:sz w:val="20"/>
        </w:rPr>
        <w:t xml:space="preserve">, modified, as necessary, to relate to the Registration Statement and the Prospectus as amended or supplemented. The requirement to provide a certificate under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shall be waived for any Representation Date occurring at a time when no Placement Notice is outstanding or a Suspension is in effect, which waiver shall continue until the earlier to occur of the date the Company delivers a Placement Notice hereunder (which for such calendar quarter shall be considered a Representation Date) and the next occurring Representation Date. Notwithstanding the foregoing, if the Company subsequently decides to sell Placement Shares following a Representation Date when a Suspension was in effect and did not provide the Agent with a certificate under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then before the Company delivers a Placement Notice or the Agent sells any Placement Shares pursuant to such instructions, the Company shall provide the Agent with a certificate in the form attached hereto as </w:t>
      </w:r>
      <w:r>
        <w:rPr>
          <w:rFonts w:ascii="Times New Roman;Times;Serif" w:hAnsi="Times New Roman;Times;Serif"/>
          <w:b w:val="false"/>
          <w:i w:val="false"/>
          <w:caps w:val="false"/>
          <w:smallCaps w:val="false"/>
          <w:sz w:val="20"/>
          <w:u w:val="single"/>
        </w:rPr>
        <w:t>Exhibit 7(l)</w:t>
      </w:r>
      <w:r>
        <w:rPr>
          <w:rFonts w:ascii="Times New Roman;Times;Serif" w:hAnsi="Times New Roman;Times;Serif"/>
          <w:b w:val="false"/>
          <w:i w:val="false"/>
          <w:caps w:val="false"/>
          <w:smallCaps w:val="false"/>
          <w:sz w:val="20"/>
        </w:rPr>
        <w:t xml:space="preserve"> dated as of the date that the Placement Notice is delivered.</w:t>
      </w:r>
    </w:p>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xml:space="preserve">. (1) Prior to the date of the first Placement Notice and (2) on each Representation Date with respect to which the Company is obligated to deliver a certificate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for which no waiver is applicable and excluding the date of this Agreement, the Company shall cause to be furnished to the Agent a written opinion and negative assurance letter of Lowenstein Sandler LLP, or other counsel satisfactory to the Agent in form and substance satisfactory to the Agent and its counsel, substantially similar to the form previously provided to the Agent and its counsel, modified, as necessary, to relate to the Registration Statement and the Prospectus as then amended or supplemented;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lieu of such opinions and negative assurance letters for subsequent periodic filings under the Exchange Act, counsel may furnish the Agent with a letter (a “</w:t>
            </w:r>
            <w:r>
              <w:rPr>
                <w:rFonts w:ascii="Times New Roman;Times;Serif" w:hAnsi="Times New Roman;Times;Serif"/>
                <w:b/>
                <w:i w:val="false"/>
                <w:caps w:val="false"/>
                <w:smallCaps w:val="false"/>
                <w:sz w:val="20"/>
                <w:u w:val="single"/>
              </w:rPr>
              <w:t>Reliance Letter</w:t>
            </w:r>
            <w:r>
              <w:rPr>
                <w:rFonts w:ascii="Times New Roman;Times;Serif" w:hAnsi="Times New Roman;Times;Serif"/>
                <w:b w:val="false"/>
                <w:i w:val="false"/>
                <w:caps w:val="false"/>
                <w:smallCaps w:val="false"/>
                <w:sz w:val="20"/>
              </w:rPr>
              <w:t xml:space="preserve">”) to the effect that the Agent may rely on a prior opinion or negative assurance letter delivered under this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to the same extent as if it were dated the date of such letter (except that statements in such prior opinion or negative assurance letter shall be deemed to relate to the Registration Statement and the Prospectus as amended or supplemented as of the date of the Reliance Letter).</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(1) Prior to the date of the first Placement Notice and (2) on each Representation Date with respect to which the Company is obligated to deliver a certificate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for which no waiver is applicable and excluding the date of this Agreement, the Company shall cause its independent registered public accounting firm (and any other independent accountants whose report is included or incorporated by reference in the Registration Statement or the Prospectus) to furnish the Agent letters (the “</w:t>
            </w:r>
            <w:r>
              <w:rPr>
                <w:rFonts w:ascii="Times New Roman;Times;Serif" w:hAnsi="Times New Roman;Times;Serif"/>
                <w:b/>
                <w:i w:val="false"/>
                <w:caps w:val="false"/>
                <w:smallCaps w:val="false"/>
                <w:sz w:val="20"/>
                <w:u w:val="single"/>
              </w:rPr>
              <w:t>Comfort Letters</w:t>
            </w:r>
            <w:r>
              <w:rPr>
                <w:rFonts w:ascii="Times New Roman;Times;Serif" w:hAnsi="Times New Roman;Times;Serif"/>
                <w:b w:val="false"/>
                <w:i w:val="false"/>
                <w:caps w:val="false"/>
                <w:smallCaps w:val="false"/>
                <w:sz w:val="20"/>
              </w:rPr>
              <w:t xml:space="preserve">”), dated the date the Comfort Letter is delivered, which shall meet the requirements set forth in this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If requested by the Agent, the Company shall also cause a Comfort Letter to be furnished to the Agent on the date of occurrence of any material transaction or event that necessitates the filing of additional, pro forma, amended or revised financial statements (including any restatement of previously issued financial statements) or that requires the filing of a Current Report on Form 8-K containing material amended financial information of the Company. The Comfort Letter from the Company’s independent registered public accounting firm shall be in a form and substance satisfactory to the Agent, (i) confirming that they are an independent registered public accounting firm within the meaning of the Securities Act and the Public Company Accounting Oversight Board (“</w:t>
            </w:r>
            <w:r>
              <w:rPr>
                <w:rFonts w:ascii="Times New Roman;Times;Serif" w:hAnsi="Times New Roman;Times;Serif"/>
                <w:b/>
                <w:i w:val="false"/>
                <w:caps w:val="false"/>
                <w:smallCaps w:val="false"/>
                <w:sz w:val="20"/>
                <w:u w:val="single"/>
              </w:rPr>
              <w:t>PCAOB</w:t>
            </w:r>
            <w:r>
              <w:rPr>
                <w:rFonts w:ascii="Times New Roman;Times;Serif" w:hAnsi="Times New Roman;Times;Serif"/>
                <w:b w:val="false"/>
                <w:i w:val="false"/>
                <w:caps w:val="false"/>
                <w:smallCaps w:val="false"/>
                <w:sz w:val="20"/>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Times;Serif" w:hAnsi="Times New Roman;Times;Serif"/>
                <w:b/>
                <w:i w:val="false"/>
                <w:caps w:val="false"/>
                <w:smallCaps w:val="false"/>
                <w:sz w:val="20"/>
                <w:u w:val="single"/>
              </w:rPr>
              <w:t>Initial Comfort Letter</w:t>
            </w:r>
            <w:r>
              <w:rPr>
                <w:rFonts w:ascii="Times New Roman;Times;Serif" w:hAnsi="Times New Roman;Times;Serif"/>
                <w:b w:val="false"/>
                <w:i w:val="false"/>
                <w:caps w:val="false"/>
                <w:smallCaps w:val="false"/>
                <w:sz w:val="20"/>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Market Activities; Compliance with Regulation M</w:t>
            </w:r>
            <w:r>
              <w:rPr>
                <w:rFonts w:ascii="Times New Roman;Times;Serif" w:hAnsi="Times New Roman;Times;Serif"/>
                <w:b w:val="false"/>
                <w:i w:val="false"/>
                <w:caps w:val="false"/>
                <w:smallCaps w:val="false"/>
                <w:sz w:val="20"/>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Act and Exchange Act Compliance</w:t>
            </w:r>
            <w:r>
              <w:rPr>
                <w:rFonts w:ascii="Times New Roman;Times;Serif" w:hAnsi="Times New Roman;Times;Serif"/>
                <w:b w:val="false"/>
                <w:i w:val="false"/>
                <w:caps w:val="false"/>
                <w:smallCaps w:val="false"/>
                <w:sz w:val="20"/>
              </w:rPr>
              <w:t>.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Other than an Issuer Free Writing Prospectus approved in advance by the Company and the Agent in its capacity as agent hereunder, neither the Agent nor the Company (including its agents and representatives, other than the Agent in its capacity as such) will, directly or indirectly, make, use, prepare, authorize, approve or refer to any written communication (as defined in Rule 405 under the Securities Act), required to be filed with the Commission, that constitutes an offer to sell or solicitation of an offer to buy Placement Shares hereunder.</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Blue Sky and Other Qualifications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Secretary’s Certificate; Further Documentation</w:t>
            </w:r>
            <w:r>
              <w:rPr>
                <w:rFonts w:ascii="Times New Roman;Times;Serif" w:hAnsi="Times New Roman;Times;Serif"/>
                <w:b w:val="false"/>
                <w:i w:val="false"/>
                <w:caps w:val="false"/>
                <w:smallCaps w:val="false"/>
                <w:sz w:val="20"/>
              </w:rPr>
              <w:t>. Prior to the date of the first Placement Notice, the Company shall deliver to the Agent a certificate of the Secretary of the Company and attested to by an executive officer of the Company, dated as of such date, certifying as to (i) the Amended and Restated Certificate of Incorporation of the Company, (ii) the Amended and Restated Bylaws of the Company, (iii) the resolutions of the Board of Directors of the Company and any other authorized committee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the Company shall have furnished to the Agent such further information, certificates and documents as the Agent may reasonably request.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Emerging Growth Company Status</w:t>
            </w:r>
            <w:r>
              <w:rPr>
                <w:rFonts w:ascii="Times New Roman;Times;Serif" w:hAnsi="Times New Roman;Times;Serif"/>
                <w:b w:val="false"/>
                <w:i w:val="false"/>
                <w:caps w:val="false"/>
                <w:smallCaps w:val="false"/>
                <w:sz w:val="20"/>
              </w:rPr>
              <w:t>. The Company will promptly notify the Agent if the Company ceases to be an Emerging Growth Company prior to December 31, 2030.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xml:space="preserve">.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 shall deem necessary, (ii) the printing and delivery to the Agent of this Agreement and such other documents as may be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fees and expenses of the Agent including but not limited to the fees and expenses of the counsel to the Agent, payable upon the execution of this Agreement, (a) in an amount not to exceed $125,000 in connection with the execution of this Agreement, (b) in an amount not to exceed $25,000 per calendar quarter thereafter payable in connection with each Representation Date with respect to which the Company is obligated to deliver a certificate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for which no waiver is applicable and excluding the date of this Agreement, and (c) in an amount not to exceed $40,000 for each program “refresh” (filing of a new registration statement, prospectus or prospectus supplement relating to the Placement Shares and/or an amendment of this Agreement) executed pursuant to this Agreement, (vi) the qualification or exemption of the Placement Shares under state securities laws in accordance with the provisions of </w:t>
            </w:r>
            <w:r>
              <w:rPr>
                <w:rFonts w:ascii="Times New Roman;Times;Serif" w:hAnsi="Times New Roman;Times;Serif"/>
                <w:b w:val="false"/>
                <w:i w:val="false"/>
                <w:caps w:val="false"/>
                <w:smallCaps w:val="false"/>
                <w:sz w:val="20"/>
                <w:u w:val="single"/>
              </w:rPr>
              <w:t>Section 7(r)</w:t>
            </w:r>
            <w:r>
              <w:rPr>
                <w:rFonts w:ascii="Times New Roman;Times;Serif" w:hAnsi="Times New Roman;Times;Serif"/>
                <w:b w:val="false"/>
                <w:i w:val="false"/>
                <w:caps w:val="false"/>
                <w:smallCaps w:val="false"/>
                <w:sz w:val="20"/>
              </w:rPr>
              <w:t xml:space="preserve"> hereof, including filing fees, but excluding fees of the Agent’s counsel, (vii) the printing and delivery to the Agent of copies of any Permitted Issuer Free Writing Prospectus and the Prospectus and any amendments or supplements thereto in such number as the Agent shall deem necessary, (viii) the preparation, printing and delivery to the Agent of copies of the blue sky survey, (ix) the fees and expenses of the transfer agent and registrar for the Common Stock,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 The Company agrees to pay the fees and expenses of counsel to the Agent set forth in clause (v) above by wire transfer of immediately available funds directly to such counsel upon presentation of an invoice containing the requisite payment information prepared by such counsel, and such counsel shall be a third-party beneficiary of the expense reimbursement obligations set forth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Conditions to Agent’s Obligations</w:t>
            </w:r>
            <w:r>
              <w:rPr>
                <w:rFonts w:ascii="Times New Roman;Times;Serif" w:hAnsi="Times New Roman;Times;Serif"/>
                <w:b w:val="false"/>
                <w:i w:val="false"/>
                <w:caps w:val="false"/>
                <w:smallCaps w:val="false"/>
                <w:sz w:val="20"/>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it in its reasonable judgment, and to the continuing satisfaction (or waiver by the Agent in its sole discretion) of the following additional conditions: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be effective and shall be available for the (i) resale of all Placement Shares issued to the Agent and not yet sold by the Agent and (ii) sale of all Placement Shares contemplated to be issued by any Placement Notice.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document incorporated or deemed to be incorporated therein by reference untrue or that requires the making of any changes in the Registration Statement, the Prospectus or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it will not contain an untrue statement of a material fact or omit to state a material fact required to be stated therein or necessary in order to make the statements therein, in the light of the circumstances under which they were made, not misleading.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Registration Statement or the Prospectus, or disclosed in the Company’s reports filed with the Commission, there shall not have been any material adverse change in the authorized capital stock of the Company or any Material Adverse Effect or any development that would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this Agreement and in the Prospectus.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Legal Opinions and Negative Assurance Letters</w:t>
            </w:r>
            <w:r>
              <w:rPr>
                <w:rFonts w:ascii="Times New Roman;Times;Serif" w:hAnsi="Times New Roman;Times;Serif"/>
                <w:b w:val="false"/>
                <w:i w:val="false"/>
                <w:caps w:val="false"/>
                <w:smallCaps w:val="false"/>
                <w:sz w:val="20"/>
              </w:rPr>
              <w:t xml:space="preserve">. The Agent shall have received the opinions and negative assurance letters required to be delivered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on or before the date on which such delivery of such opinions and negative assurance letters is required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The Agent shall have received the Comfort Letter required to be delivered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on or before the date on which such delivery of such Comfort Letter is required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xml:space="preserve">. The Agent shall have received the certificate required to be delivered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xml:space="preserve">. The Agent shall have received the certificate required to be delivered pursuant to </w:t>
            </w:r>
            <w:r>
              <w:rPr>
                <w:rFonts w:ascii="Times New Roman;Times;Serif" w:hAnsi="Times New Roman;Times;Serif"/>
                <w:b w:val="false"/>
                <w:i w:val="false"/>
                <w:caps w:val="false"/>
                <w:smallCaps w:val="false"/>
                <w:sz w:val="20"/>
                <w:u w:val="single"/>
              </w:rPr>
              <w:t>Section 7(u)</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7(u)</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Common Stock shall not have been suspended on the Exchange and the Common Stock shall not have been delisted from the Exchange.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xml:space="preserve">. On each date on which the Company is required to deliver a certificate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the Company shall have furnished to the Agent such appropriate further information, opinions, certificates, letters and other documents as the Agent may reasonably request. All such opinions, certificates, letters and other documents will be in compliance with the provisions 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All filings with the Commission required by Rule 424 or Rule 433 under the Securities Act to have been filed prior to the issuance of any Placement Notice hereunder shall have been made within the applicable time period prescribed for such filing by Rule 424 or Rule 433, as applicable.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If applicable, FINRA shall have raised no objection to the terms of this offering and the amount of compensation allowable or payable to the Agent as described in the Prospectus.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xml:space="preserve">. There shall not have occurred any event that would permit the Agent to terminate this Agreement pursuant to </w:t>
            </w:r>
            <w:r>
              <w:rPr>
                <w:rFonts w:ascii="Times New Roman;Times;Serif" w:hAnsi="Times New Roman;Times;Serif"/>
                <w:b w:val="false"/>
                <w:i w:val="false"/>
                <w:caps w:val="false"/>
                <w:smallCaps w:val="false"/>
                <w:sz w:val="20"/>
                <w:u w:val="single"/>
              </w:rPr>
              <w:t>Section 12(a)</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290"/>
        <w:gridCol w:w="28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Company Indemnification</w:t>
            </w:r>
            <w:r>
              <w:rPr>
                <w:rFonts w:ascii="Times New Roman;Times;Serif" w:hAnsi="Times New Roman;Times;Serif"/>
                <w:b w:val="false"/>
                <w:i w:val="false"/>
                <w:caps w:val="false"/>
                <w:smallCaps w:val="false"/>
                <w:sz w:val="20"/>
              </w:rPr>
              <w:t>. The Company agrees to indemnify and hold harmless the Agent, its affiliates and their respective partners, members, directors, officers, employees and agents and each person, if any, who (i) controls the Agent or any affiliate within the meaning of Section 15 of the Securities Act or Section 20 of the Exchange Act, (ii) is controlled by or is under common control with the Agent, or (iii) may become subject to liability under the Securities Act, the Exchange Act or other federal or state statutory law or regulation, at common law or otherwise, in each case as follows: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7"/>
        <w:gridCol w:w="998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the omission or alleged omission therefrom of a material fact necessary in order to make the statements therein, in the light of the circumstances under which they were made, not misleading or any breach by the Company of any of its respective representations, warranties or agreements contained in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val="false"/>
                <w:i w:val="false"/>
                <w:caps w:val="false"/>
                <w:smallCaps w:val="false"/>
                <w:sz w:val="20"/>
                <w:u w:val="single"/>
              </w:rPr>
              <w:t>Section 10(d)</w:t>
            </w:r>
            <w:r>
              <w:rPr>
                <w:rFonts w:ascii="Times New Roman;Times;Serif" w:hAnsi="Times New Roman;Times;Serif"/>
                <w:b w:val="false"/>
                <w:i w:val="false"/>
                <w:caps w:val="false"/>
                <w:smallCaps w:val="false"/>
                <w:sz w:val="20"/>
              </w:rPr>
              <w:t xml:space="preserve"> below) any such settlement is effected with the written consent of the Company, which consent shall not unreasonably be delayed or withheld;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 any and all expense whatsoever, as incurred (including the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tc>
      </w:tr>
    </w:tbl>
    <w:p>
      <w:pPr>
        <w:pStyle w:val="TextBody"/>
        <w:bidi w:val="0"/>
        <w:ind w:left="144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indemnity agreement shall not apply to any loss, liability, claim, damage or expense to the extent arising out of any untrue statement or omission or alleged untrue statement or omission made solely in reliance upon and in conformity with the Agent Information (as defined below). The indemnity agreement set forth in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shall be in addition to any liabilities that the Company may otherwise have.</w:t>
      </w:r>
    </w:p>
    <w:p>
      <w:pPr>
        <w:pStyle w:val="TextBody"/>
        <w:bidi w:val="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Agent Indemnification</w:t>
            </w:r>
            <w:r>
              <w:rPr>
                <w:rFonts w:ascii="Times New Roman;Times;Serif" w:hAnsi="Times New Roman;Times;Serif"/>
                <w:b w:val="false"/>
                <w:i w:val="false"/>
                <w:caps w:val="false"/>
                <w:smallCaps w:val="false"/>
                <w:sz w:val="20"/>
              </w:rPr>
              <w:t xml:space="preserv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the Agent and furnished to the Company in writing by the Agent expressly for use therein. The Company hereby acknowledges that the only information that the Agent has furnished to the Company expressly for use in the Registration Statement, the Prospectus or any Issuer Free Writing Prospectus (or any amendment or supplement thereto) are the statements set forth in the eighth and tenth paragraphs under the caption “Plan of Distribution” in the Prospectus (the “</w:t>
            </w:r>
            <w:r>
              <w:rPr>
                <w:rFonts w:ascii="Times New Roman;Times;Serif" w:hAnsi="Times New Roman;Times;Serif"/>
                <w:b/>
                <w:i w:val="false"/>
                <w:caps w:val="false"/>
                <w:smallCaps w:val="false"/>
                <w:sz w:val="20"/>
                <w:u w:val="single"/>
              </w:rPr>
              <w:t>Agent Information</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xml:space="preserve">. Any party that proposes to assert the right to be indemnified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will, promptly after receipt of notice of commencement of any action against such party in respect of which a claim is to be made against an indemnifying party or parties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(ii) any liability that it may have to any indemnified party under the foregoing provision of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Settlement Without Consent if Failure to Reimburse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If an indemnified party shall have requested an indemnifying party to reimburse the indemnified party for reasonable fees and expenses of counsel, such indemnifying party agrees that it shall be liable for any settlement of the nature contemplated by </w:t>
            </w:r>
            <w:r>
              <w:rPr>
                <w:rFonts w:ascii="Times New Roman;Times;Serif" w:hAnsi="Times New Roman;Times;Serif"/>
                <w:b w:val="false"/>
                <w:i w:val="false"/>
                <w:caps w:val="false"/>
                <w:smallCaps w:val="false"/>
                <w:sz w:val="20"/>
                <w:u w:val="single"/>
              </w:rPr>
              <w:t>Section 10(a)(ii)</w:t>
            </w:r>
            <w:r>
              <w:rPr>
                <w:rFonts w:ascii="Times New Roman;Times;Serif" w:hAnsi="Times New Roman;Times;Serif"/>
                <w:b w:val="false"/>
                <w:i w:val="false"/>
                <w:caps w:val="false"/>
                <w:smallCaps w:val="false"/>
                <w:sz w:val="20"/>
              </w:rPr>
              <w:t xml:space="preserve">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In order to provide for just and equitable contribution in circumstances in which the indemnification provided for in the foregoing paragraphs of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shall be deemed to include, for the purpose of this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any legal or other expenses reasonably incurred by such indemnified party in connection with investigating or defending any such action or claim to the extent consistent with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hereof. Notwithstanding the foregoing provisions of this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any person who controls a party to this Agreement within the meaning of the Securities Act, any affiliates of the Agent and any officers, directors, partners, employees or agents of the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hereof, no party will be liable for contribution with respect to any action or claim settled without its written consent if such consent is required pursuant to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hereof.</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xml:space="preserve">. The indemnity and contribution agreements contained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tc>
      </w:tr>
    </w:tbl>
    <w:p>
      <w:pPr>
        <w:pStyle w:val="TextBody"/>
        <w:bidi w:val="0"/>
        <w:jc w:val="left"/>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90"/>
        <w:gridCol w:w="10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Agent may terminate this Agreement, by notice to the Company, as hereinafter specified at any time (1) if any Material Adverse Effect, or any development that could reasonably be expected to result in a Material Adverse Effect, has occurred, which individually or in the aggregate, in the sole judgment of the Agent makes it impractical or inadvisable to market the Placement Shares or to enforce contracts for the sale of the Placement Shares, (2) the Company shall have failed, refused or been unable to perform any agreement on its part to be performed hereunder (3)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(4) if trading in the Common Stock has been suspended or limited by the Commission or the Exchange, or if trading generally on the Exchange has been suspended or limited, or minimum prices for trading have been fixed on the Exchange, (5) if any suspension of trading of any securities of the Company on any exchange or in the over-the-counter market shall have occurred and be continuing, (6) if a major disruption of securities settlements or clearance services in the United States shall have occurred and be continuing, or (7) if a banking moratorium has been declared by either U.S. Federal or New York authorities.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 If the Agent elects to terminate this Agreement as provided in this </w:t>
            </w:r>
            <w:r>
              <w:rPr>
                <w:rFonts w:ascii="Times New Roman;Times;Serif" w:hAnsi="Times New Roman;Times;Serif"/>
                <w:b w:val="false"/>
                <w:i w:val="false"/>
                <w:caps w:val="false"/>
                <w:smallCaps w:val="false"/>
                <w:sz w:val="20"/>
                <w:u w:val="single"/>
              </w:rPr>
              <w:t>Section 12(a)</w:t>
            </w:r>
            <w:r>
              <w:rPr>
                <w:rFonts w:ascii="Times New Roman;Times;Serif" w:hAnsi="Times New Roman;Times;Serif"/>
                <w:b w:val="false"/>
                <w:i w:val="false"/>
                <w:caps w:val="false"/>
                <w:smallCaps w:val="false"/>
                <w:sz w:val="20"/>
              </w:rPr>
              <w:t xml:space="preserve">, the Agent shall provide the required notice as specified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(Notices).</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have the right, by giving ten (10) Business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hereof shall remain in full force and effect notwithstanding such termination.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Agent shall have the right, by giving ten (10) Business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hereof shall remain in full force and effect notwithstanding such termination.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shall remain in full force and effect unless terminated pursuant to </w:t>
            </w:r>
            <w:r>
              <w:rPr>
                <w:rFonts w:ascii="Times New Roman;Times;Serif" w:hAnsi="Times New Roman;Times;Serif"/>
                <w:b w:val="false"/>
                <w:i w:val="false"/>
                <w:caps w:val="false"/>
                <w:smallCaps w:val="false"/>
                <w:sz w:val="20"/>
                <w:u w:val="single"/>
              </w:rPr>
              <w:t>Sections 12(a)</w:t>
            </w:r>
            <w:r>
              <w:rPr>
                <w:rFonts w:ascii="Times New Roman;Times;Serif" w:hAnsi="Times New Roman;Times;Serif"/>
                <w:b w:val="false"/>
                <w:i w:val="false"/>
                <w:caps w:val="false"/>
                <w:smallCaps w:val="false"/>
                <w:sz w:val="20"/>
              </w:rPr>
              <w:t xml:space="preserve">, (b), or (c) above or otherwise by mutual agreement of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such termination by mutual agreement shall in all cases be deemed to provide that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shall remain in full force and effect.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termination of this Agreement shall be effective on the date specified in such notice of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by any party to any other party pursuant to the terms of this Agreement shall be in writing, unless otherwise specified, and if sent to the Agent, shall be delivered to:</w:t>
            </w:r>
          </w:p>
        </w:tc>
      </w:tr>
    </w:tbl>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br/>
        <w:t>110 East 59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w:t>
        <w:br/>
        <w:t>New York, New York 10022</w:t>
        <w:br/>
        <w:t>Attention:         Capital Markets</w:t>
        <w:br/>
        <w:t xml:space="preserve">Email: [*****] </w:t>
      </w:r>
    </w:p>
    <w:p>
      <w:pPr>
        <w:pStyle w:val="TextBody"/>
        <w:bidi w:val="0"/>
        <w:ind w:left="144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br/>
        <w:t>110 East 59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w:t>
        <w:br/>
        <w:t>New York, New York 10022</w:t>
        <w:br/>
        <w:t>Attention:        General Counsel</w:t>
        <w:br/>
        <w:t xml:space="preserve">Email: [*****] </w:t>
      </w:r>
    </w:p>
    <w:p>
      <w:pPr>
        <w:pStyle w:val="TextBody"/>
        <w:bidi w:val="0"/>
        <w:ind w:left="144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ind w:left="144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(US)</w:t>
        <w:br/>
        <w:t>1251 Avenue of the Americas</w:t>
        <w:br/>
        <w:t>New York, NY 10020</w:t>
        <w:br/>
        <w:t>Attention:       Stephen P. Alicanti and Gina H. Lee</w:t>
        <w:br/>
        <w:t xml:space="preserve">E-mail: [*****] </w:t>
      </w:r>
    </w:p>
    <w:p>
      <w:pPr>
        <w:pStyle w:val="TextBody"/>
        <w:bidi w:val="0"/>
        <w:ind w:left="144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Company, shall be delivered to:</w:t>
      </w:r>
    </w:p>
    <w:p>
      <w:pPr>
        <w:pStyle w:val="TextBody"/>
        <w:bidi w:val="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br/>
        <w:t>5818 El Camino Real</w:t>
        <w:br/>
        <w:t>Carlsbad, CA 92008</w:t>
        <w:br/>
        <w:t>Attention:       Chris Anthony; Tom DaPolito</w:t>
        <w:br/>
        <w:t xml:space="preserve">E-mail: [*****] </w:t>
      </w:r>
    </w:p>
    <w:p>
      <w:pPr>
        <w:pStyle w:val="TextBody"/>
        <w:bidi w:val="0"/>
        <w:ind w:left="144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Lowenstein Sandler LLP</w:t>
        <w:br/>
        <w:t>1251 Avenue of the Americas</w:t>
        <w:br/>
        <w:t>New York, NY 10020</w:t>
        <w:br/>
        <w:t>Attention:        Daniel Forman</w:t>
        <w:br/>
        <w:t xml:space="preserve">E-mail: [*****]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and (iv) on the Business Day actually received if deposited in the U.S. mail (certified or registered mail, return receipt requested, postage prepaid). For purposes of this Agreement,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on which the Exchange and commercial banks in the City of New York are open for business.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communication (“</w:t>
      </w:r>
      <w:r>
        <w:rPr>
          <w:rFonts w:ascii="Times New Roman;Times;Serif" w:hAnsi="Times New Roman;Times;Serif"/>
          <w:b/>
          <w:i w:val="false"/>
          <w:caps w:val="false"/>
          <w:smallCaps w:val="false"/>
          <w:sz w:val="20"/>
          <w:u w:val="single"/>
        </w:rPr>
        <w:t>Electronic Notice</w:t>
      </w:r>
      <w:r>
        <w:rPr>
          <w:rFonts w:ascii="Times New Roman;Times;Serif" w:hAnsi="Times New Roman;Times;Serif"/>
          <w:b w:val="false"/>
          <w:i w:val="false"/>
          <w:caps w:val="false"/>
          <w:smallCaps w:val="false"/>
          <w:sz w:val="20"/>
        </w:rPr>
        <w:t xml:space="preserve">”) shall be deemed written notice for purposes of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Times;Serif" w:hAnsi="Times New Roman;Times;Serif"/>
          <w:b/>
          <w:i w:val="false"/>
          <w:caps w:val="false"/>
          <w:smallCaps w:val="false"/>
          <w:sz w:val="20"/>
          <w:u w:val="single"/>
        </w:rPr>
        <w:t>Nonelectronic Notic</w:t>
      </w: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which shall be sent to the requesting party within ten (10) days of receipt of the written request for Nonelectronic Notice.</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be binding upon the Company and the Agent and their respective successors and the parties referred to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Agent may assign its rights and obligations hereunder to an affiliate thereof without obtaining the Company’s consent.</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Adjustments for Stock Splits</w:t>
            </w:r>
            <w:r>
              <w:rPr>
                <w:rFonts w:ascii="Times New Roman;Times;Serif" w:hAnsi="Times New Roman;Times;Serif"/>
                <w:b w:val="false"/>
                <w:i w:val="false"/>
                <w:caps w:val="false"/>
                <w:smallCaps w:val="false"/>
                <w:sz w:val="20"/>
              </w:rPr>
              <w:t>. The parties acknowledge and agree that all share-related numbers contained in this Agreement shall be adjusted to take into account any stock split, stock dividend or similar event effected with respect to the Placement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 Amendment; Severability; Waiver</w:t>
            </w:r>
            <w:r>
              <w:rPr>
                <w:rFonts w:ascii="Times New Roman;Times;Serif" w:hAnsi="Times New Roman;Times;Serif"/>
                <w:b w:val="false"/>
                <w:i w:val="false"/>
                <w:caps w:val="false"/>
                <w:smallCaps w:val="false"/>
                <w:sz w:val="20"/>
              </w:rPr>
              <w:t>. This Agreement (including all schedules and exhibits attached hereto, any side letters and Placement Notices issued pursuant hereto) constitute the entire agreement and supersede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Recognition of U.S. Special Resolutions Regimes</w:t>
            </w:r>
            <w:r>
              <w:rPr>
                <w:rFonts w:ascii="Times New Roman;Times;Serif" w:hAnsi="Times New Roman;Times;Serif"/>
                <w:b w:val="false"/>
                <w:i w:val="false"/>
                <w:caps w:val="false"/>
                <w:smallCaps w:val="false"/>
                <w:sz w:val="20"/>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 For purposes of this Agreement, (A)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(B)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and (D)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54"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GOVERNING LAW AND TIME; WAIVER OF JURY TRIAL</w:t>
            </w:r>
            <w:r>
              <w:rPr>
                <w:rFonts w:ascii="Times New Roman;Times;Serif" w:hAnsi="Times New Roman;Times;Serif"/>
                <w:b/>
                <w:i w:val="false"/>
                <w:caps w:val="false"/>
                <w:smallCaps w:val="false"/>
                <w:sz w:val="20"/>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95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CONSENT TO JURISDICTION</w:t>
            </w:r>
            <w:r>
              <w:rPr>
                <w:rFonts w:ascii="Times New Roman;Times;Serif" w:hAnsi="Times New Roman;Times;Serif"/>
                <w:b/>
                <w:i w:val="false"/>
                <w:caps w:val="false"/>
                <w:smallCaps w:val="false"/>
                <w:sz w:val="20"/>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Permitted Free Writing Prospectuses</w:t>
            </w:r>
            <w:r>
              <w:rPr>
                <w:rFonts w:ascii="Times New Roman;Times;Serif" w:hAnsi="Times New Roman;Times;Serif"/>
                <w:b w:val="false"/>
                <w:i w:val="false"/>
                <w:caps w:val="false"/>
                <w:smallCaps w:val="false"/>
                <w:sz w:val="20"/>
              </w:rPr>
              <w:t xml:space="preserve">. The Company represents, warrants and agrees that, unless it obtains the prior written consent of the Agent, and the Agent represents, warrants and agrees that, unless it obtains the prior written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Times;Serif" w:hAnsi="Times New Roman;Times;Serif"/>
                <w:b w:val="false"/>
                <w:i w:val="false"/>
                <w:caps w:val="false"/>
                <w:smallCaps w:val="false"/>
                <w:sz w:val="20"/>
                <w:u w:val="single"/>
              </w:rPr>
              <w:t>Exhibit 21</w:t>
            </w:r>
            <w:r>
              <w:rPr>
                <w:rFonts w:ascii="Times New Roman;Times;Serif" w:hAnsi="Times New Roman;Times;Serif"/>
                <w:b w:val="false"/>
                <w:i w:val="false"/>
                <w:caps w:val="false"/>
                <w:smallCaps w:val="false"/>
                <w:sz w:val="20"/>
              </w:rPr>
              <w:t xml:space="preserve"> hereto are Permitted Free Writing Prospectuses.</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290"/>
        <w:gridCol w:w="66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 The Company acknowledges and agrees that: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capable of evaluating and understanding, and understands and accepts, the terms, risks and conditions of the transactions contemplated by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aware that the Agent and its affiliates are engaged in a broad range of transactions which may involve interests that differ from those of the Company and the Agent and its affiliates have no obligation to disclose such interests and transactions to the Company by virtue of any fiduciary, advisory or agency relationship or otherwise;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waives, to the fullest extent permitted by law, any claims it may have against the Agent or its affiliates for breach of fiduciary duty or alleged breach of fiduciary duty in connection with the sale of Placement Shares under this Agreement and agrees that the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have the respective meanings set forth below:</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Applicable Time</w:t>
      </w:r>
      <w:r>
        <w:rPr>
          <w:rFonts w:ascii="Times New Roman;Times;Serif" w:hAnsi="Times New Roman;Times;Serif"/>
          <w:b w:val="false"/>
          <w:i w:val="false"/>
          <w:caps w:val="false"/>
          <w:smallCaps w:val="false"/>
          <w:sz w:val="20"/>
        </w:rPr>
        <w:t>” means (i) each Representation Date, (ii) each date on which a Placement Notice is given (iii) the time of each sale of any Placement Shares pursuant to this Agreement and (iv) each Settlement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Governmental Authority</w:t>
      </w:r>
      <w:r>
        <w:rPr>
          <w:rFonts w:ascii="Times New Roman;Times;Serif" w:hAnsi="Times New Roman;Times;Serif"/>
          <w:b w:val="false"/>
          <w:i w:val="false"/>
          <w:caps w:val="false"/>
          <w:smallCaps w:val="false"/>
          <w:sz w:val="20"/>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Rule 164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Rule 424(b)</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Rule 430B</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u w:val="single"/>
        </w:rPr>
        <w:t>Rule 433</w:t>
      </w:r>
      <w:r>
        <w:rPr>
          <w:rFonts w:ascii="Times New Roman;Times;Serif" w:hAnsi="Times New Roman;Times;Serif"/>
          <w:b w:val="false"/>
          <w:i w:val="false"/>
          <w:caps w:val="false"/>
          <w:smallCaps w:val="false"/>
          <w:sz w:val="20"/>
        </w:rPr>
        <w:t>” refer to such rules under the Securities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462(b) Registration Statement</w:t>
      </w:r>
      <w:r>
        <w:rPr>
          <w:rFonts w:ascii="Times New Roman;Times;Serif" w:hAnsi="Times New Roman;Times;Serif"/>
          <w:b w:val="false"/>
          <w:i w:val="false"/>
          <w:caps w:val="false"/>
          <w:smallCaps w:val="false"/>
          <w:sz w:val="20"/>
        </w:rPr>
        <w:t>” means any registration statement filed by the Company pursuant to Rule 462(b) under the Securities Act in connection with the offer and sale of Placement Shares.</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i w:val="false"/>
          <w:caps w:val="false"/>
          <w:smallCaps w:val="false"/>
          <w:sz w:val="20"/>
        </w:rPr>
        <w:t>]</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the Agent, please so indicate in the space provided below for that purpose, whereupon this Agreement shall constitute a binding agreement between the Company and the Agent.</w:t>
      </w:r>
    </w:p>
    <w:p>
      <w:pPr>
        <w:pStyle w:val="TextBody"/>
        <w:bidi w:val="0"/>
        <w:ind w:left="0" w:right="0" w:firstLine="720"/>
        <w:jc w:val="both"/>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727"/>
        <w:gridCol w:w="3012"/>
      </w:tblGrid>
      <w:tr>
        <w:trPr/>
        <w:tc>
          <w:tcPr>
            <w:tcW w:w="75"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tc>
      </w:tr>
      <w:tr>
        <w:trPr/>
        <w:tc>
          <w:tcPr>
            <w:tcW w:w="7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012"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Anthony</w:t>
            </w:r>
          </w:p>
        </w:tc>
      </w:tr>
      <w:tr>
        <w:trPr/>
        <w:tc>
          <w:tcPr>
            <w:tcW w:w="7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r>
      <w:tr>
        <w:trPr/>
        <w:tc>
          <w:tcPr>
            <w:tcW w:w="7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r>
        <w:trPr/>
        <w:tc>
          <w:tcPr>
            <w:tcW w:w="7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caps w:val="false"/>
                <w:smallCaps w:val="false"/>
              </w:rPr>
            </w:pPr>
            <w:r>
              <w:rPr>
                <w:caps w:val="false"/>
                <w:smallCaps w:val="false"/>
              </w:rPr>
              <w:t> </w:t>
            </w:r>
          </w:p>
        </w:tc>
        <w:tc>
          <w:tcPr>
            <w:tcW w:w="3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first-above written:</w:t>
            </w:r>
          </w:p>
        </w:tc>
      </w:tr>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727" w:type="dxa"/>
            <w:tcBorders/>
            <w:vAlign w:val="center"/>
          </w:tcPr>
          <w:p>
            <w:pPr>
              <w:pStyle w:val="TableContents"/>
              <w:bidi w:val="0"/>
              <w:spacing w:before="0" w:after="283"/>
              <w:jc w:val="left"/>
              <w:rPr>
                <w:sz w:val="4"/>
                <w:szCs w:val="4"/>
              </w:rPr>
            </w:pPr>
            <w:r>
              <w:rPr>
                <w:sz w:val="4"/>
                <w:szCs w:val="4"/>
              </w:rPr>
            </w:r>
          </w:p>
        </w:tc>
        <w:tc>
          <w:tcPr>
            <w:tcW w:w="3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tc>
      </w:tr>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727" w:type="dxa"/>
            <w:tcBorders/>
            <w:vAlign w:val="center"/>
          </w:tcPr>
          <w:p>
            <w:pPr>
              <w:pStyle w:val="TableContents"/>
              <w:bidi w:val="0"/>
              <w:spacing w:before="0" w:after="283"/>
              <w:jc w:val="left"/>
              <w:rPr>
                <w:caps w:val="false"/>
                <w:smallCaps w:val="false"/>
              </w:rPr>
            </w:pPr>
            <w:r>
              <w:rPr>
                <w:caps w:val="false"/>
                <w:smallCaps w:val="false"/>
              </w:rPr>
              <w:t> </w:t>
            </w:r>
          </w:p>
        </w:tc>
        <w:tc>
          <w:tcPr>
            <w:tcW w:w="3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12"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Sameer Vasudev</w:t>
            </w:r>
          </w:p>
        </w:tc>
      </w:tr>
      <w:tr>
        <w:trPr/>
        <w:tc>
          <w:tcPr>
            <w:tcW w:w="7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Sameer Vasudev</w:t>
            </w:r>
          </w:p>
        </w:tc>
      </w:tr>
      <w:tr>
        <w:trPr/>
        <w:tc>
          <w:tcPr>
            <w:tcW w:w="7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ind w:left="43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ind w:left="477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Placement Notice</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560"/>
        <w:gridCol w:w="4250"/>
      </w:tblGrid>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42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42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Sameer Vasudev (svasudev@cantor.com)</w:t>
            </w:r>
          </w:p>
        </w:tc>
      </w:tr>
    </w:tbl>
    <w:p>
      <w:pPr>
        <w:pStyle w:val="TextBody"/>
        <w:bidi w:val="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10"/>
        <w:gridCol w:w="1460"/>
      </w:tblGrid>
      <w:tr>
        <w:trPr/>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Notice</w:t>
            </w:r>
          </w:p>
        </w:tc>
      </w:tr>
    </w:tbl>
    <w:p>
      <w:pPr>
        <w:pStyle w:val="TextBody"/>
        <w:bidi w:val="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470"/>
        <w:gridCol w:w="92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Sales Agreement between Aptera Motors Corp.,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and Cantor Fitzgerald &amp; Co. (“</w:t>
      </w:r>
      <w:r>
        <w:rPr>
          <w:rFonts w:ascii="Times New Roman;Times;Serif" w:hAnsi="Times New Roman;Times;Serif"/>
          <w:b/>
          <w:i w:val="false"/>
          <w:caps w:val="false"/>
          <w:smallCaps w:val="false"/>
          <w:sz w:val="20"/>
          <w:u w:val="single"/>
        </w:rPr>
        <w:t>Agent</w:t>
      </w:r>
      <w:r>
        <w:rPr>
          <w:rFonts w:ascii="Times New Roman;Times;Serif" w:hAnsi="Times New Roman;Times;Serif"/>
          <w:b w:val="false"/>
          <w:i w:val="false"/>
          <w:caps w:val="false"/>
          <w:smallCaps w:val="false"/>
          <w:sz w:val="20"/>
        </w:rPr>
        <w:t>”), dated October [●], 2026, the Company hereby requests that the Agent sell up to [●] shares of the Company’s Class B Common Stock, par value $0.0001 per share, at a minimum market price of $[●] per share, during the time period beginning [month, day, time] and ending [month, day, time].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Agent in cash, upon each sale of Placement Shares pursuant to this Agreement, an amount equal to 3.0% of the aggregate gross proceeds from each sale of Placement Shares.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Parties</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Company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Agent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SCHEDULE 4</w:t>
      </w:r>
    </w:p>
    <w:p>
      <w:pPr>
        <w:pStyle w:val="TextBody"/>
        <w:bidi w:val="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Exhibit 21 of the Company’s most recently filed Annual Report on Form 10-K.</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7(l)</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Representation Date Certificate Pursuant to Section 7(l)</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the duly qualified and elected [●], of Aptera Motors Corp.,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does hereby certify in such capacity and on behalf of the Company,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of the Sales Agreement, dated October [●], 2026 (the “</w:t>
      </w:r>
      <w:r>
        <w:rPr>
          <w:rFonts w:ascii="Times New Roman;Times;Serif" w:hAnsi="Times New Roman;Times;Serif"/>
          <w:b w:val="false"/>
          <w:i w:val="false"/>
          <w:caps w:val="false"/>
          <w:smallCaps w:val="false"/>
          <w:sz w:val="20"/>
          <w:u w:val="single"/>
        </w:rPr>
        <w:t>Sales Agreement</w:t>
      </w:r>
      <w:r>
        <w:rPr>
          <w:rFonts w:ascii="Times New Roman;Times;Serif" w:hAnsi="Times New Roman;Times;Serif"/>
          <w:b w:val="false"/>
          <w:i w:val="false"/>
          <w:caps w:val="false"/>
          <w:smallCaps w:val="false"/>
          <w:sz w:val="20"/>
        </w:rPr>
        <w:t>”), between the Company and Cantor Fitzgerald &amp; Co., that to the best of the knowledge of the undersigned: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representations and warranties of the Company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the Sales Agreement are true and correct on and as of the date hereof with the same force and effect as if expressly made on and as of the date hereof, except for those representations and warranties that speak solely as of a specific date and which were true and correct as of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representations and warranties also shall be qualified by the disclosure included or incorporated by reference in the Registration Statement and Prospectus;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complied with all agreements and satisfied all conditions on its part to be performed or satisfied pursuant to the Sales Agreement at or prior to the date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without definition shall have the meanings given to such terms in the Sales Agreement.</w:t>
      </w:r>
    </w:p>
    <w:p>
      <w:pPr>
        <w:pStyle w:val="TextBody"/>
        <w:bidi w:val="0"/>
        <w:ind w:left="0" w:right="0" w:firstLine="720"/>
        <w:jc w:val="both"/>
        <w:rPr>
          <w:caps w:val="false"/>
          <w:smallCaps w:val="false"/>
        </w:rPr>
      </w:pPr>
      <w:r>
        <w:rPr>
          <w:caps w:val="false"/>
          <w:smallCaps w:val="false"/>
        </w:rPr>
        <w:t> </w:t>
      </w:r>
    </w:p>
    <w:tbl>
      <w:tblPr>
        <w:tblW w:w="1774" w:type="dxa"/>
        <w:jc w:val="left"/>
        <w:tblInd w:w="0" w:type="dxa"/>
        <w:tblLayout w:type="fixed"/>
        <w:tblCellMar>
          <w:top w:w="0" w:type="dxa"/>
          <w:left w:w="0" w:type="dxa"/>
          <w:bottom w:w="0" w:type="dxa"/>
          <w:right w:w="0" w:type="dxa"/>
        </w:tblCellMar>
      </w:tblPr>
      <w:tblGrid>
        <w:gridCol w:w="75"/>
        <w:gridCol w:w="1494"/>
        <w:gridCol w:w="205"/>
      </w:tblGrid>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16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tc>
      </w:tr>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0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ind w:left="432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Permitted Free Writing Prospectus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5" w:name="ex4-4.htm"/>
      <w:bookmarkStart w:id="36" w:name="ksex44"/>
      <w:bookmarkEnd w:id="35"/>
      <w:bookmarkEnd w:id="3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4.4</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 as Issuer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w:t>
      </w:r>
      <w:r>
        <w:rPr>
          <w:rFonts w:ascii="Times New Roman;Times;Serif" w:hAnsi="Times New Roman;Times;Serif"/>
          <w:b/>
          <w:i w:val="false"/>
          <w:caps w:val="false"/>
          <w:smallCaps w:val="false"/>
          <w:sz w:val="20"/>
        </w:rPr>
        <w:t>, as Trustee</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Dated as of ●</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 Securities</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 REFERENCE SHEET</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Trust Indenture Act of 1939 and the Indenture to be dated as of _________, 20___ between APTERA MOTORS CORP. and ___________________, as Trustee:</w:t>
      </w:r>
    </w:p>
    <w:p>
      <w:pPr>
        <w:pStyle w:val="TextBody"/>
        <w:bidi w:val="0"/>
        <w:spacing w:before="0" w:after="0"/>
        <w:jc w:val="center"/>
        <w:rPr>
          <w:caps w:val="false"/>
          <w:smallCaps w:val="false"/>
        </w:rPr>
      </w:pPr>
      <w:r>
        <w:rPr>
          <w:caps w:val="false"/>
          <w:smallCaps w:val="false"/>
        </w:rPr>
        <w:t> </w:t>
      </w:r>
    </w:p>
    <w:tbl>
      <w:tblPr>
        <w:tblW w:w="3550" w:type="dxa"/>
        <w:jc w:val="left"/>
        <w:tblInd w:w="0" w:type="dxa"/>
        <w:tblLayout w:type="fixed"/>
        <w:tblCellMar>
          <w:top w:w="0" w:type="dxa"/>
          <w:left w:w="0" w:type="dxa"/>
          <w:bottom w:w="28" w:type="dxa"/>
          <w:right w:w="0" w:type="dxa"/>
        </w:tblCellMar>
      </w:tblPr>
      <w:tblGrid>
        <w:gridCol w:w="1760"/>
        <w:gridCol w:w="60"/>
        <w:gridCol w:w="1730"/>
      </w:tblGrid>
      <w:tr>
        <w:trPr/>
        <w:tc>
          <w:tcPr>
            <w:tcW w:w="17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the Act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Indenture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310(a)(1) and (2)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310(a)(3) and (4)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5.09(a), (b) and (d)</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312(b)f</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4.02(c)</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313(b)(1)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313(b)(2)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314(c)(1) and (2)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314(c)(3)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314(f)</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315(a), (c) and (d)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 (last sentence)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3.03(a) and (b)</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4600" w:type="dxa"/>
        <w:jc w:val="left"/>
        <w:tblInd w:w="0" w:type="dxa"/>
        <w:tblLayout w:type="fixed"/>
        <w:tblCellMar>
          <w:top w:w="0" w:type="dxa"/>
          <w:left w:w="0" w:type="dxa"/>
          <w:bottom w:w="0" w:type="dxa"/>
          <w:right w:w="0" w:type="dxa"/>
        </w:tblCellMar>
      </w:tblPr>
      <w:tblGrid>
        <w:gridCol w:w="125"/>
        <w:gridCol w:w="447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4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Cross Reference Sheet is not part of the Indenture.</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jc w:val="center"/>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1055"/>
        <w:gridCol w:w="7115"/>
        <w:gridCol w:w="455"/>
      </w:tblGrid>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711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711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Terms Defined</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 Generally</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Trustee’s Certification of Authentication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Unlimited; Issuable in Series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and Delivery of Securities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of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Denomination and Date of Securities; Payments of Interest</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Transfer and Exchange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Mutilated, Defaced, Destroyed, Lost and Stolen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Securities; Destruction Thereof</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Computation of Interest</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 OF THE ISSUER AND THE TRUSTEE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and Interest</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Offices for Payments, etc</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the Issuer</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Securityholders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by the Issuer</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Existence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Mergers, Sales and Consolidations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 OF THE TRUSTEE AND SECURITYHOLDERS ON EVENT OF DEFAULT</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of Default Defined; Acceleration of Maturity; Waiver of Default</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of Indebtedness by Trustee; Trustee May Prove Debt</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Proceeds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Suits for Enforcement</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Restoration of Rights on Abandonment of Proceedings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Suits by Securityholder</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Unconditional Right of Securityholders to Institute Certain Suits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and Remedies Cumulative; Delay or Omission Not Waiver of Default</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by Securityholders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Past Defaults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r>
          </w:p>
        </w:tc>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to Give Notice of Default, But May Withhold in Certain Circumstances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r>
          </w:p>
        </w:tc>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Court to Require Filing of Undertaking to Pay Costs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tbl>
      <w:tblPr>
        <w:tblW w:w="9570" w:type="dxa"/>
        <w:jc w:val="left"/>
        <w:tblInd w:w="0" w:type="dxa"/>
        <w:tblLayout w:type="fixed"/>
        <w:tblCellMar>
          <w:top w:w="0" w:type="dxa"/>
          <w:left w:w="0" w:type="dxa"/>
          <w:bottom w:w="0" w:type="dxa"/>
          <w:right w:w="0" w:type="dxa"/>
        </w:tblCellMar>
      </w:tblPr>
      <w:tblGrid>
        <w:gridCol w:w="1160"/>
        <w:gridCol w:w="7955"/>
        <w:gridCol w:w="455"/>
      </w:tblGrid>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CONCERNING THE TRUSTEE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Duties and Responsibilities of the Trustee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Rights of the Trustee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Not Responsible for Recitals, Disposition of Securities or Application of Proceeds Thereof</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and Agents May Hold Securities; Collections, etc</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Monies Held by Trustee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Indemnification of Trustee and Its Prior Claim</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Trustee to Rely on Officers’ Certificate, etc</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Eligible for Appointment as Trustee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and Removal; Appointment of Successor Trustee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Appointment by Successor</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Conversion, Consolidation or Succession to Business of Trustee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to the Trustee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CONCERNING THE SECURITYHOLDERS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Action Taken by Securityholders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Proof of Execution of Instruments and of Holding of Securities; Record Date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to be Treated as Owners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Owned by Issuer Deemed Not Outstanding</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Revocation of Action Taken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 Without Consent of Securityholders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 With Consent of Securityholders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Supplemental Indenture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to Be Given to Trustee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Notation on Securities in Respect of Supplemental Indentures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CONSOLIDATION, MERGER, SALE OR CONVEYANCE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May Consolidate, etc., on Certain Terms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Corporation Substituted</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DISCHARGE OF INDENTURE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Within One Year of Payment</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Defeasance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Trust Money</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to Issuer</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PROVISIONS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Incorporators, Stockholders, Officers and Directors Exempt from Individual Liability</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Indenture for the Sole Benefit of Parties and Securityholders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 and Assigns of Issuer Bound by Indenture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and Demands on Issuer, Trustee and Securityholders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Certificates and Opinions of Counsel; Statements to be Contained Therein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Due on Saturdays, Sundays and Holidays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 of Any Provision of Indenture with Trust Indenture Act of 1939</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center"/>
        <w:rPr>
          <w:caps w:val="false"/>
          <w:smallCaps w:val="false"/>
        </w:rPr>
      </w:pPr>
      <w:r>
        <w:rPr>
          <w:caps w:val="false"/>
          <w:smallCaps w:val="false"/>
        </w:rPr>
        <w:t> </w:t>
      </w:r>
    </w:p>
    <w:tbl>
      <w:tblPr>
        <w:tblW w:w="8520" w:type="dxa"/>
        <w:jc w:val="left"/>
        <w:tblInd w:w="0" w:type="dxa"/>
        <w:tblLayout w:type="fixed"/>
        <w:tblCellMar>
          <w:top w:w="0" w:type="dxa"/>
          <w:left w:w="0" w:type="dxa"/>
          <w:bottom w:w="0" w:type="dxa"/>
          <w:right w:w="0" w:type="dxa"/>
        </w:tblCellMar>
      </w:tblPr>
      <w:tblGrid>
        <w:gridCol w:w="1160"/>
        <w:gridCol w:w="6905"/>
        <w:gridCol w:w="455"/>
      </w:tblGrid>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Law to Govern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Headings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Applicability of Article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Partial Redemptions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Securities Called for Redemption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of Certain Securities from Eligibility for Selection for Redemption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Arrangement On Call For Redemption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12</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Applicability of Article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Securityholders to Convert Securities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of Capital Stock on Conversion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Payment or Adjustment for Interest or Dividends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12.05</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of Conversion Rate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12.06</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to Be Issued</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12.07</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Preservation of Conversion Rights Upon Consolidation, Merger, Sale or Conveyance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12.08</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Security Holders of a Series Prior to Taking Certain Types of Action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12.09</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to Reserve Shares for Issuance on Conversion of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12.10</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Governmental Requirements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12.11</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Taxes Upon Certificates for Shares Issued Upon Conversion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12.12</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Duties with Respect to Conversion Provisions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dated as of , between APTERA MOTORS CORP., a Delaware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and ●, a ● corporation,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issue from time to time of its senior debentures, notes or other evidences of indebtedness to be issued in one or more series (the “Securities”) up to such principal amount or amounts as may from time to time be authorized in accordance with the terms of this Indenture and to provide, among other things, for the authentication, delivery and administration thereof, the Issuer has duly authorized the execution and delivery of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indenture and agreement according to its terms have been done;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caps w:val="false"/>
          <w:smallCaps w:val="false"/>
          <w:sz w:val="20"/>
        </w:rPr>
        <w:t>Certain Terms Defined</w:t>
      </w:r>
      <w:r>
        <w:rPr>
          <w:rFonts w:ascii="Times New Roman;Times;Serif" w:hAnsi="Times New Roman;Times;Serif"/>
          <w:b w:val="false"/>
          <w:i w:val="false"/>
          <w:caps w:val="false"/>
          <w:smallCaps w:val="false"/>
          <w:sz w:val="20"/>
        </w:rPr>
        <w:t>.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as amended,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GAAP.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Authorized Newspaper</w:t>
      </w:r>
      <w:r>
        <w:rPr>
          <w:rFonts w:ascii="Times New Roman;Times;Serif" w:hAnsi="Times New Roman;Times;Serif"/>
          <w:b w:val="false"/>
          <w:i w:val="false"/>
          <w:caps w:val="false"/>
          <w:smallCaps w:val="false"/>
          <w:sz w:val="20"/>
        </w:rPr>
        <w:t>” means a newspaper in the English language or in an official language of the country of publication, customarily printed on each Business Day, whether or not published on Saturdays, Sundays or holidays, and of general circulation in the place in connection with which the term is used or in the financial community of such place. If, because of temporary suspension of publication or general circulation of any newspaper or for any other reason, it is impossible or impracticable to make any publication of any notice required by this Indenture in the manner herein provided, such publication or other notice in lieu thereof which is made at the written direction of the Issuer by the Trustee shall constitute a sufficient publication of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either the Board of Directors of the Issuer or any committee of such Board duly authorized to act hereunder.</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Security, a day that in the city (or in all of the cities, if more than one) in which amounts are payable, as specified in the form of such Security, is not a day on which banking institutions are authorized by law or regulation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Capitalized Lease</w:t>
      </w:r>
      <w:r>
        <w:rPr>
          <w:rFonts w:ascii="Times New Roman;Times;Serif" w:hAnsi="Times New Roman;Times;Serif"/>
          <w:b w:val="false"/>
          <w:i w:val="false"/>
          <w:caps w:val="false"/>
          <w:smallCaps w:val="false"/>
          <w:sz w:val="20"/>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w:t>
      </w:r>
      <w:r>
        <w:rPr>
          <w:rFonts w:ascii="Times New Roman;Times;Serif" w:hAnsi="Times New Roman;Times;Serif"/>
          <w:b/>
          <w:i w:val="false"/>
          <w:caps w:val="false"/>
          <w:smallCaps w:val="false"/>
          <w:sz w:val="20"/>
        </w:rPr>
        <w:t>Capitalized Lease Obligation</w:t>
      </w:r>
      <w:r>
        <w:rPr>
          <w:rFonts w:ascii="Times New Roman;Times;Serif" w:hAnsi="Times New Roman;Times;Serif"/>
          <w:b w:val="false"/>
          <w:i w:val="false"/>
          <w:caps w:val="false"/>
          <w:smallCaps w:val="false"/>
          <w:sz w:val="20"/>
        </w:rPr>
        <w:t>” is defined to mean the rental obligations, as aforesaid, under such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any and all shares, interests, participations or other equivalents (however designated, whether voting or non-voting) of the Issuer’s capital stock or other ownership interests, whether now outstanding or issued after the date of this Indenture, including, without limitation, all Common Stock and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Price</w:t>
      </w:r>
      <w:r>
        <w:rPr>
          <w:rFonts w:ascii="Times New Roman;Times;Serif" w:hAnsi="Times New Roman;Times;Serif"/>
          <w:b w:val="false"/>
          <w:i w:val="false"/>
          <w:caps w:val="false"/>
          <w:smallCaps w:val="false"/>
          <w:sz w:val="20"/>
        </w:rPr>
        <w:t>” on any day when used with respect to any class of Capital Stock means the closing sale price per share (or if no closing sale price is reported, the average of the bid and ask prices or, if more than one in either case, the average of the average bid and the average ask prices) on that date as reported by The Nasdaq Capital Market or, if such Capital Stock is not listed on The Nasdaq Capital Market, then on the principal U.S. national or regional securities exchange on which such Capital Stock is then listed. If such Capital Stock is not listed on either The Nasdaq Capital Market or on any U.S. national or regional securities exchange on the relevant date, the Closing Price will be the last quoted bid price for the Company’s Common Stock in the over-the-counter market on the relevant date as reported by the OTC Markets Group Inc. or similar organization. In the event that no such quotation is available for any day, the Board of Directors shall be entitled to determine in good faith the current market price on the basis of such quotations as it considers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any and all shares, interests, participations or other equivalents (however designated, whether voting or non-voting) of the Issuer’s common stock, par value $0.0001 per share, whether now outstanding or issued after the date of the Indenture, including, without limitation, all series and classes of such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the corporate trust business of the Trustee shall, at any particular time, be principally administered, which office is, at the date as of which this Indenture is dated, located at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Currency Agreement</w:t>
      </w:r>
      <w:r>
        <w:rPr>
          <w:rFonts w:ascii="Times New Roman;Times;Serif" w:hAnsi="Times New Roman;Times;Serif"/>
          <w:b w:val="false"/>
          <w:i w:val="false"/>
          <w:caps w:val="false"/>
          <w:smallCaps w:val="false"/>
          <w:sz w:val="20"/>
        </w:rPr>
        <w:t>” means any foreign exchange contract, currency swap agreement, or other similar agreement or arrangement designed to protect against the fluctuation in currency values.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of Default as defined in Section 4.01 and any event that is, or after notice or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the form of one or more Registered Global Securities, the Person designated as Depositary by the Issuer pursuant to Section 2.03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Determination Date</w:t>
      </w:r>
      <w:r>
        <w:rPr>
          <w:rFonts w:ascii="Times New Roman;Times;Serif" w:hAnsi="Times New Roman;Times;Serif"/>
          <w:b w:val="false"/>
          <w:i w:val="false"/>
          <w:caps w:val="false"/>
          <w:smallCaps w:val="false"/>
          <w:sz w:val="20"/>
        </w:rPr>
        <w:t>” has the meaning specified in Section 12.05.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has the meaning specified in Section 4.01.</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this Indenture shall be computed in conformity with GAAP applied on a consistent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entered into for purposes of assuring in any other manner the obligee of such Indebtedness or other obligation of the payment thereof or to protect such obligee against loss in respect thereof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shall not include endorsements for collection or deposit in the ordinary course of business.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used as a verb has a corresponding meaning.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or other similar terms mean the registered holder of any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Person at any date of determination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indebtedness of such Person for borrowed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of such Person evidenced by bonds, debentures, notes, or other similar instruments, in each case, for value received or settlement of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obligations of such Person in respect of letters of credit or other similar instruments (including reimbursement obligations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obligations of such Person to pay the deferred and unpaid purchase price of property or services (but excluding trade accounts payable or accrued liabilities arising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obligations of such Person as lessee under Capitalized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all Indebtedness of other Persons secured by a Lien on any asset of such Person, whether or not such Indebtedness is assumed by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 such Indebtedness shall be the lesser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fair market value of such asset at such date of determination;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amount of such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Indebtedness of other Persons to the extent Guaranteed by such Person;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the extent not otherwise included in this definition, obligations under Currency Agreements and Interest Rate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no event shall the term “Indebtedness” be deemed to include letters of credit or bonds that secure performance or surety bonds or similar instruments that are issued in the ordinary course of business.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Indebtedness shall not include any liability for federal, state, local, or 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means, when used with respect to non-interest bearing Securities, interest payable after maturity. “Interest Rate Agreement” means any obligation of any Person pursuant to any interest rate swap, cap, collar or similar arrangement providing protection against fluctuations in interest rates. For purposes of the Indenture, the amount of such obligation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 shall be the net amount so determined, plus any premium due upon default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means the Person identified as “Issuer” in the first paragraph hereof and, subject to Article 8, its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asset, any mortgage, lien, pledge, charge, security interest or encumbrance of any kind, or any other type of preferential arrangement that has the practical effect of creating a security interest, in respect of such asset. For the purposes of this Indenture, the Issuer shall be deemed to own subject to a Lien any asset that it has acquired or holds subject to the interest of a vendor or lessor under any conditional sale agreement, capital lease or other title retention agreement relating to such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the chairman of the Issuer’s Board of Directors, its president or any vice president, and by its treasurer, any assistant treasurer, its secretary or any assistant secretary of the Issuer, and delivered to the Trustee. Each such certificate shall comply with Section 314 of the Trust Indenture Act of 1939 and include the statements provided for in Section 10.05.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an opinion in writing signed by legal counsel who may be an employee of or counsel to the Issuer and who shall be satisfactory to the Trustee. Each such opinion shall comply with Section 314 of the Trust Indenture Act of 1939 and include the statements provided for in Section 10.05, if and to the extent required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of any Security (or portion thereof) means the earlier of (i) the date of such Security or (ii) the date of any Security (or portion thereof) for which such Security was issued (directly or indirectly) on registration of transfer, exchange or substitution.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Issue Discount Security</w:t>
      </w:r>
      <w:r>
        <w:rPr>
          <w:rFonts w:ascii="Times New Roman;Times;Serif" w:hAnsi="Times New Roman;Times;Serif"/>
          <w:b w:val="false"/>
          <w:i w:val="false"/>
          <w:caps w:val="false"/>
          <w:smallCaps w:val="false"/>
          <w:sz w:val="20"/>
        </w:rPr>
        <w:t>” means any Security that provides for an amount less than the Principal amount thereof to be due and payable upon a declaration of acceleration of the maturity thereof pursuant to Section 4.01.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when used with reference to Securities, shall, subject to the provisions of Section 6.04, mean, as of any particular time, all Securities authenticated and delivered by the Trustee under this Indenture,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Securities theretofore canceled by the Trustee or delivered to the Trustee for cancellation;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Securities, or portions thereof, for the payment or redemption of which monies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 satisfactory to the Trustee shall have been made for giving such notice;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 stock company, trust, unincorporated organization or government or any agency or political subdivision thereof or any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means any and all shares, interests, participations or other equivalents (however designated, whether voting or non-voting) of the Issuer’s preferred stock, par value $0.0001 per share, whether now outstanding or issued after the date of the Indenture, including, without limitation, all series and classes of such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means, with respect to the Securities or any Security or any portion thereof, the principal amount of such Securities, Security or portion thereof, and shall be deemed to include “and premium,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as used with respect to any interest payment date (except a date for payment of defaulted interest), has the meaning specified in Section 2.07.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Registered Global Security</w:t>
      </w:r>
      <w:r>
        <w:rPr>
          <w:rFonts w:ascii="Times New Roman;Times;Serif" w:hAnsi="Times New Roman;Times;Serif"/>
          <w:b w:val="false"/>
          <w:i w:val="false"/>
          <w:caps w:val="false"/>
          <w:smallCaps w:val="false"/>
          <w:sz w:val="20"/>
        </w:rPr>
        <w:t>” means a Security evidencing all or a part of a series of Registered Securities, issued to the Depositary for such series in accordance with Section 2.04, and bearing the legend prescribed in Section 2.04.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Registered Security</w:t>
      </w:r>
      <w:r>
        <w:rPr>
          <w:rFonts w:ascii="Times New Roman;Times;Serif" w:hAnsi="Times New Roman;Times;Serif"/>
          <w:b w:val="false"/>
          <w:i w:val="false"/>
          <w:caps w:val="false"/>
          <w:smallCaps w:val="false"/>
          <w:sz w:val="20"/>
        </w:rPr>
        <w:t>” means any Security registered on the register maintained by the Issuer pursuant to Section 2.08.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has the meaning stated in the first recital of this Indenture, or, as the case may be, Securities that have been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or other business entity of which more than 50% of all votes represented by all classes of outstanding Voting Stock is owned, directly or indirectly, by such Person and one or more other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identified as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in the first paragraph hereof and, subject to the provisions of Article 5, shall also include any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 of 1939</w:t>
      </w:r>
      <w:r>
        <w:rPr>
          <w:rFonts w:ascii="Times New Roman;Times;Serif" w:hAnsi="Times New Roman;Times;Serif"/>
          <w:b w:val="false"/>
          <w:i w:val="false"/>
          <w:caps w:val="false"/>
          <w:smallCaps w:val="false"/>
          <w:sz w:val="20"/>
        </w:rPr>
        <w:t>” (except as otherwise provided in Section 7.01 and 7.02) means the Trust Indenture Act of 1939 as in force at the date as of which this Indenture was originally executed.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means the Uniform Commercial Code, as in effect in each applicable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Unregistered Security</w:t>
      </w:r>
      <w:r>
        <w:rPr>
          <w:rFonts w:ascii="Times New Roman;Times;Serif" w:hAnsi="Times New Roman;Times;Serif"/>
          <w:b w:val="false"/>
          <w:i w:val="false"/>
          <w:caps w:val="false"/>
          <w:smallCaps w:val="false"/>
          <w:sz w:val="20"/>
        </w:rPr>
        <w:t>” means any Security other than a Registered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Obligations</w:t>
      </w:r>
      <w:r>
        <w:rPr>
          <w:rFonts w:ascii="Times New Roman;Times;Serif" w:hAnsi="Times New Roman;Times;Serif"/>
          <w:b w:val="false"/>
          <w:i w:val="false"/>
          <w:caps w:val="false"/>
          <w:smallCaps w:val="false"/>
          <w:sz w:val="20"/>
        </w:rPr>
        <w:t>” means securities that are (i) direct obligations of the United States of America for the payment of which its full faith and credit is pledged or (ii) obligations of an agency of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means, with respect to any Person, capital stock of any class or kind ordinarily having the power to vote for the election of directors, managers or other voting members of the governing body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vice president</w:t>
      </w:r>
      <w:r>
        <w:rPr>
          <w:rFonts w:ascii="Times New Roman;Times;Serif" w:hAnsi="Times New Roman;Times;Serif"/>
          <w:b w:val="false"/>
          <w:i w:val="false"/>
          <w:caps w:val="false"/>
          <w:smallCaps w:val="false"/>
          <w:sz w:val="20"/>
        </w:rPr>
        <w:t>” when used with respect to the Issuer or the Trustee, means any vice president, whether or not designated by a number or a word or words added before or after the title of “</w:t>
      </w:r>
      <w:r>
        <w:rPr>
          <w:rFonts w:ascii="Times New Roman;Times;Serif" w:hAnsi="Times New Roman;Times;Serif"/>
          <w:b/>
          <w:i w:val="false"/>
          <w:caps w:val="false"/>
          <w:smallCaps w:val="false"/>
          <w:sz w:val="20"/>
        </w:rPr>
        <w:t>vice president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Wholly-Owned</w:t>
      </w:r>
      <w:r>
        <w:rPr>
          <w:rFonts w:ascii="Times New Roman;Times;Serif" w:hAnsi="Times New Roman;Times;Serif"/>
          <w:b w:val="false"/>
          <w:i w:val="false"/>
          <w:caps w:val="false"/>
          <w:smallCaps w:val="false"/>
          <w:sz w:val="20"/>
        </w:rPr>
        <w:t>” is defined to mean, with respect to any Subsidiary of any Person, such Subsidiary if all of the outstanding common stock or other similar equity ownership interests (but not including preferred stock) in such Subsidiary (other than any director’s qualifying shares or investments by foreign nationals mandated by applicable law) is owned directly or indirectly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Yield to Maturity</w:t>
      </w:r>
      <w:r>
        <w:rPr>
          <w:rFonts w:ascii="Times New Roman;Times;Serif" w:hAnsi="Times New Roman;Times;Serif"/>
          <w:b w:val="false"/>
          <w:i w:val="false"/>
          <w:caps w:val="false"/>
          <w:smallCaps w:val="false"/>
          <w:sz w:val="20"/>
        </w:rPr>
        <w:t>” means the yield to maturity on a series of securities, calculated at the time of issuance of such series, or, if applicable, at the most recent redetermination of interest on such series, and calculated in accordance with accepted financial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caps w:val="false"/>
          <w:smallCaps w:val="false"/>
          <w:sz w:val="20"/>
        </w:rPr>
        <w:t>Forms Generally</w:t>
      </w:r>
      <w:r>
        <w:rPr>
          <w:rFonts w:ascii="Times New Roman;Times;Serif" w:hAnsi="Times New Roman;Times;Serif"/>
          <w:b w:val="false"/>
          <w:i w:val="false"/>
          <w:caps w:val="false"/>
          <w:smallCaps w:val="false"/>
          <w:sz w:val="20"/>
        </w:rPr>
        <w:t>. The Securities of each series shall be substantially in such form (not inconsistent with this Indenture) as shall be established by or pursuant to a resolution of the Board of Directors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 The Issuer shall furnish any such legends to the Trustee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Securities shall be printed, lithographed or engraved on steel engraved borders or may be produced in any other manner, all as determined by the officers executing such Securities, as evidenced by their execution of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caps w:val="false"/>
          <w:smallCaps w:val="false"/>
          <w:sz w:val="20"/>
        </w:rPr>
        <w:t>Form of Trustee’s Certification of Authentication</w:t>
      </w:r>
      <w:r>
        <w:rPr>
          <w:rFonts w:ascii="Times New Roman;Times;Serif" w:hAnsi="Times New Roman;Times;Serif"/>
          <w:b w:val="false"/>
          <w:i w:val="false"/>
          <w:caps w:val="false"/>
          <w:smallCaps w:val="false"/>
          <w:sz w:val="20"/>
        </w:rPr>
        <w:t>. The Trustee’s certificate of authentication on all Securities shall be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herein and referred to in the within-mentioned Indenture.</w:t>
      </w:r>
    </w:p>
    <w:p>
      <w:pPr>
        <w:pStyle w:val="TextBody"/>
        <w:bidi w:val="0"/>
        <w:spacing w:before="0" w:after="0"/>
        <w:ind w:left="0" w:right="0" w:firstLine="72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320"/>
        <w:gridCol w:w="1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0" w:type="dxa"/>
            <w:gridSpan w:val="2"/>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caps w:val="false"/>
          <w:smallCaps w:val="false"/>
          <w:sz w:val="20"/>
        </w:rPr>
        <w:t>Amount Unlimited; Issuable in Series</w:t>
      </w:r>
      <w:r>
        <w:rPr>
          <w:rFonts w:ascii="Times New Roman;Times;Serif" w:hAnsi="Times New Roman;Times;Serif"/>
          <w:b w:val="false"/>
          <w:i w:val="false"/>
          <w:caps w:val="false"/>
          <w:smallCaps w:val="false"/>
          <w:sz w:val="20"/>
        </w:rPr>
        <w:t>. The aggregate Principal amount of Securities which may be authenticated and delivered under this Indenture is unlimited.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issued in one or more series. There shall be established in or pursuant to a resolution of the Board of Directors and set forth in an Officers’ Certificate, or established in one or more indentures supplemental hereto, prior to the issuance of Securities of any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title of the Securities of the series (which shall distinguish the Securities of the series from all other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or Section 12.03);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Securities of the series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place or places where the Principal of and any interest on Securities of the series shall be payable (if other than as provided in Section 3.02);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price or prices at which, the period or periods within which and the terms and conditions upon which Securities of the series may be redeemed, in whole or in part, at the option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obligation, if any, of the Issuer to redeem, purchase or repay Securities of the series at the option of a Holder thereof and the price or prices at which, the period or periods within which and the terms and conditions upon which Securities of the series shall be redeemed, purchased or repaid, in whole or in part, pursuant to such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obligation, if any, of the Issuer to permit the conversion of the Securities of such series into Capital Stock, and the terms and conditions upon which such conversion shall be effected (including, without limitation, the initial conversion price or rate, the conversion period and any other provision in addition to or in lieu of those set forth in this Indenture relative to such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other than denominations of $1,000 and any multiple thereof, the denominations in which Securities of the series shall be issuable;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other than the Principal amount thereof, the portion of the Principal amount of Securities of the series which shall be payable upon declaration of acceleration of the maturity thereof pursuant to Section 4.01 or provable in bankruptcy pursuant to Section 4.02;</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the Securities of the series are issuable in whole or in part as one or more Registered Global Securities, the identity of the Depositary for such Registered Global Security 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other terms of the series (which terms shall not be inconsistent with the provisions of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trustees, authenticating or paying agents, transfer agents or registrar or any other agents with respect to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denomination and except as may otherwise be provided in or pursuant to such resolution of the Board of Directors or in any such indenture supplemental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caps w:val="false"/>
          <w:smallCaps w:val="false"/>
          <w:sz w:val="20"/>
        </w:rPr>
        <w:t>Authentication and Delivery of Securities</w:t>
      </w:r>
      <w:r>
        <w:rPr>
          <w:rFonts w:ascii="Times New Roman;Times;Serif" w:hAnsi="Times New Roman;Times;Serif"/>
          <w:b w:val="false"/>
          <w:i w:val="false"/>
          <w:caps w:val="false"/>
          <w:smallCaps w:val="false"/>
          <w:sz w:val="20"/>
        </w:rPr>
        <w:t>.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such order to be signed by both (a) the chairman of its Board of Directors, its president or any vice president and by its treasurer, any assistant treasurer, its secretary or any assistant secretary, without any further action by the Issuer. In authenticating such Securities and accepting the additional responsibilities under this Indenture in relation to such Securities the Trustee shall receive, and (subject to Section 5.01) shall be fully protected in relying upon: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certified copy of any resolution or resolutions of the Board of Directors authorizing the action taken pursuant to the resolution or resolutions delivered under clause (b)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copy of any resolution or resolutions of the Board of Directors relating to such series, in each case certified by the secretary or an assistant secretary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executed supplemental indenture, if any, and the documentation required to be delivered pursuant to Section 7.04;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Officers’ Certificate setting forth the form and terms of the Securities as required pursuant to Section 2.01 and 2.03, respectively and prepared in accordance with Section 10.05;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Opinion of Counsel, prepared in accordance with Section 10.05, to the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the form or forms and terms of such Securities have been established by or pursuant to a resolution of the Board of Directors or by a supplemental indenture as permitted by Section 2.01 and 2.03 in conformity with the provisions of this Indenture;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that such Securities, when authenticated and delivered by the Trustee and issued by the Issuer in the manner and subject to any conditions specified in such Opinion of Counsel, will constitute valid and binding obligations of the Issuer enforceable against the Issuer in accordance with their terms, except to the extent that enforcement thereof may be limited by bankruptcy, insolvency, reorganization, moratorium, fraudulent conveyance or similar laws now or hereafter in effect relating to creditors’ rights generally, and general principles of equity (regardless of whether enforceability is considered in a proceeding in equity or at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shall establish pursuant to Section 2.03 that the Securities of a series or a portion thereof are to be issued in the form of one or more Registered Global Securities, then the Issuer shall execute (in accordance with Section 2.05) and the Trustee shall authenticate and make available for delivery one or more Registered Global Securities that (i) shall represent and shall be denominated in an amount equal to the aggregate Principal amount of all of the Securities of such series issued in such form and not yet canceled, (ii) shall be registered in the name of the Depositary for such Registered Global Security or Securities or the nominee of such Depositary, (iii) shall be delivered by the Trustee to such Depositary or its custodian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caps w:val="false"/>
          <w:smallCaps w:val="false"/>
          <w:sz w:val="20"/>
        </w:rPr>
        <w:t>Execution of Securities</w:t>
      </w:r>
      <w:r>
        <w:rPr>
          <w:rFonts w:ascii="Times New Roman;Times;Serif" w:hAnsi="Times New Roman;Times;Serif"/>
          <w:b w:val="false"/>
          <w:i w:val="false"/>
          <w:caps w:val="false"/>
          <w:smallCaps w:val="false"/>
          <w:sz w:val="20"/>
        </w:rPr>
        <w:t>. The Securities shall be signed on behalf of the Issuer by the chairman of its Board of Directors, its president, any vice president, its treasurer or any assistant treasurer, under its corporate seal and attested by its secretary or any assistant secretary.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caps w:val="false"/>
          <w:smallCaps w:val="false"/>
          <w:sz w:val="20"/>
        </w:rPr>
        <w:t>Certificate of Authentication</w:t>
      </w:r>
      <w:r>
        <w:rPr>
          <w:rFonts w:ascii="Times New Roman;Times;Serif" w:hAnsi="Times New Roman;Times;Serif"/>
          <w:b w:val="false"/>
          <w:i w:val="false"/>
          <w:caps w:val="false"/>
          <w:smallCaps w:val="false"/>
          <w:sz w:val="20"/>
        </w:rPr>
        <w:t>. Only such Securities as shall bear thereon a certificate of authentication substantially in the form hereinbefore recited, executed by the Trustee by the manual signature of one of its authorized signatories,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caps w:val="false"/>
          <w:smallCaps w:val="false"/>
          <w:sz w:val="20"/>
        </w:rPr>
        <w:t>Denomination and Date of Securities; Payments of Interest</w:t>
      </w:r>
      <w:r>
        <w:rPr>
          <w:rFonts w:ascii="Times New Roman;Times;Serif" w:hAnsi="Times New Roman;Times;Serif"/>
          <w:b w:val="false"/>
          <w:i w:val="false"/>
          <w:caps w:val="false"/>
          <w:smallCaps w:val="false"/>
          <w:sz w:val="20"/>
        </w:rPr>
        <w:t>.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$1,000 and any multiple thereof. The Securities shall be numbered, lettered, or otherwise distinguished in such manner or in accordance with such plan as the officers of the Issuer executing the same may determine as evidenced by the execution and authentication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Security shall be dated the date of its authentication, shall bear interest, if any, from the date and shall be payable on the dates, in each case, which shall be specified as contemplated by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caps w:val="false"/>
          <w:smallCaps w:val="false"/>
          <w:sz w:val="20"/>
        </w:rPr>
        <w:t>Registration, Transfer and Exchange</w:t>
      </w:r>
      <w:r>
        <w:rPr>
          <w:rFonts w:ascii="Times New Roman;Times;Serif" w:hAnsi="Times New Roman;Times;Serif"/>
          <w:b w:val="false"/>
          <w:i w:val="false"/>
          <w:caps w:val="false"/>
          <w:smallCaps w:val="false"/>
          <w:sz w:val="20"/>
        </w:rPr>
        <w:t>.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 such form within a reasonable time. At all reasonable times such register or registers shall be open for inspection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thereof, Registered Securities of any series (other than a Registered Global Security, except as set forth below) may be exchanged for a Registered Security or Registered Securities of such series and tenor having authorized denominations and an equal aggregate Principal amount, upon surrender of such Registered Securities to be exchanged at the agency of the Issuer that shall be maintained for such purpose in accordance with Section 3.02 and upon payment, if the Issuer shall so require, of the charges hereinafter provided. If the Securities of any series are issued in both registered and unregistered form, except as otherwise established pursuant to Section 2.03, at the option of the Holder thereof, Unregistered Securities of any series may be exchanged for 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At the option of the Holder thereof, if Unregistered Securities of any series, maturity date, interest rate and Original Issue Date are issued in more than one authorized denomination, except as otherwise established pursuant to Section 2.03, such Unregistered Securities may be exchanged for Unregistered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Registered Securities of any series may not be exchanged for Unregistered Securities of such series. Whenever any Securities are so surrendered for exchange, the Issuer shall execute, and the Trustee shall authenticate and make available for delivery, the Securities which the Holder making the exchange is entitled to receive.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Registered Securities presented for registration of transfer, exchange, redemption, conversion or payment shall be duly endorsed by, or be accompanied by a written instrument or instruments of transfer in form satisfactory to the Issuer and the Trustee duly executed by, the Holder or his attorney duly authorized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require payment of a sum sufficient to cover any tax or other governmental charge that may be imposed in connection with any exchange or registration of transfer of Securities. No service charge shall be made for any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Section 2.08,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Depositary for any Registered Global Securities of any series notifies the Issuer that it is unwilling or unable to continue as Depositary for such Registered Global Securities or if at any time the Depositary for such Registered Global Securities shall no longer be eligible under applicable law, the Issuer shall appoint a successor Depositary eligible under applicable law with respect to such Registered Global Securities. If a successor Depositary eligible under applicable law for such Registered Global Securities is not appointed by the Issuer within 90 days after the Issuer receives such notice or becomes aware of such ineligibility, the Issuer will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at any time and in its sole discretion determine that any Registered Global Securities of any series shall no longer be maintained in global form. In such event, or in the event that there shall have occurred and be continuing an Event of Default with respect to a series of Securities, the Issuer will, upon the request of any Holder,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time the Registered Securities of any series are not in the form of Registered Global Securities pursuant to the preceding two paragraphs, the Issuer agrees to supply the Trustee with a reasonable supply of certificated Registered Securities without the legend required by Section 2.04 and the Trustee agrees to hold such Registered Securities in safekeeping until authenticated and delivered pursuant to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established by the Issuer pursuant to Section 2.03 with respect to any Registered Global Security, the Depositary for such Registered Global Security may surrender such Registered Global Security in exchange in whole or in part for Registered Securities of the same series and tenor in definitive registered form on such terms as are acceptable to the Issuer and such Depositary. Thereupon, the Issuer shall execute, and the Trustee shall authenticate and make available for delivery, without service 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Person specified by such Depositary new Registered Securities of the same series and tenor, of any authorized denominations as requested by such Person, in an aggregate Principal amount equal to and in exchange for such Person’s beneficial interest in the Registered Global Security;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such Depositary a new Registered Global Security in a denomination equal to the difference, if any, between the Principal amount of the surrendered Registered Global Security and the aggregate Principal amount of Registered Securities authenticated and delivered pursuant to clause (i) above.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Securities issued in exchange for a Registered Global Security pursuant to this Section 2.08 shall be registered in such names and in such authorized denominations as the Depositary for such Registered Global Security, pursuant to instructions from its direct or indirect participants or otherwise, shall instruct the Trustee or an agent of the Issuer or the Trustee. The Trustee or such agent shall deliver such Securities to or as directed by the Persons in whose names such Securities are so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Issuer, evidencing the same debt, and entitled to the same benefits under this Indenture, as the Securities surrendered upon such transfer or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or in the forms or terms of any Securities to the contrary, none of the Issuer, the Trustee or any agent of the Issuer or the Trustee shall be required to exchange any Unregistered Security for a Registered Security if such exchange would result in adverse Federal income tax consequences to the Issuer (such as, for example, the inability of the Issuer to deduct from its income, as computed for Federal income tax purposes, the interest payable on the Unregistered Securities) under then applicable United States Federal income tax laws. The Trustee and any such agent shall be entitled to rely on an Officers’ Certificate or an Opinion of Counsel in determining such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Registrar nor the Issuer shall be required (i) to issue, authenticate, register the transfer of or exchange Securities of any series for a period of 15 days before the mailing of a notice of redemption of such Securities to be redeemed or (ii) to register the transfer of or exchange any Security selected for redemption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caps w:val="false"/>
          <w:smallCaps w:val="false"/>
          <w:sz w:val="20"/>
        </w:rPr>
        <w:t>Mutilated, Defaced, Destroyed, Lost and Stolen Securities</w:t>
      </w:r>
      <w:r>
        <w:rPr>
          <w:rFonts w:ascii="Times New Roman;Times;Serif" w:hAnsi="Times New Roman;Times;Serif"/>
          <w:b w:val="false"/>
          <w:i w:val="false"/>
          <w:caps w:val="false"/>
          <w:smallCaps w:val="false"/>
          <w:sz w:val="20"/>
        </w:rPr>
        <w:t>. In case any temporary or definitive Security shall become mutilated or defaced and shall be surrendered to the Trustee, the Issuer shall execute, and the Trustee shall authenticate and deliver, a new Security of the same series, bearing a number not contemporaneously outstanding, in exchange and substitution for the mutilated or defaced Security. If the Holder of any Security claims that the Security has been lost, destroyed or wrongfully taken, the Issuer shall execute, and the Trustee shall authenticate and deliver, a new Security of the same series, bearing a number not contemporaneously outstanding, in exchange and substitution for the lost, destroyed or wrongfully taken Security, if the applicant so requests before the Issuer has notice that the Security has been acquired by a protected purchaser, and the applicant furnishes to the Issuer and to the Trustee and any agent of the Issuer or the Trustee such security or indemnity as may be required by them to indemnify and defend and to save each of them harmless and the applicant satisfies other reasonable requirements imposed by the Issuer.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substitute Security, the Issuer may require the payment of a sum sufficient to cover any tax or other governmental charge that may be imposed in relation thereto and any other expenses (including the fees and expenses of the Trustee and its counsel)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to the Trustee and any agent of the Issuer or the Trustee such security or taking, the applicant shall also furnish to the Issuer and the Trustee and any agent of the Issuer or the Trustee evidence to their satisfaction of the destruction, loss or wrongful taking of such Security and of the ownership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substitute Security of any series issued pursuant to the provisions of this section by virtue of the fact that any such Security is destroyed, lost or stolen shall constitute an additional contractual obligation of the Issuer, whether or not the destroyed, lost or wrongfully taken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wrongfully taken Securities and shall preclude any and all other rights or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caps w:val="false"/>
          <w:smallCaps w:val="false"/>
          <w:sz w:val="20"/>
        </w:rPr>
        <w:t>Cancellation of Securities; Destruction Thereof</w:t>
      </w:r>
      <w:r>
        <w:rPr>
          <w:rFonts w:ascii="Times New Roman;Times;Serif" w:hAnsi="Times New Roman;Times;Serif"/>
          <w:b w:val="false"/>
          <w:i w:val="false"/>
          <w:caps w:val="false"/>
          <w:smallCaps w:val="false"/>
          <w:sz w:val="20"/>
        </w:rPr>
        <w:t>. All Securities surrendered for payment, redemption, repurchase, conversion, registration of transfer or exchange, if surrendered to the Issuer or any agent of the Issuer or the Trustee, shall be delivered to the Trustee for cancellation or, if surrendered to the Trustee, shall be canceled by it; and no Securities shall be issued in lieu thereof except as expressly permitted by any of the provisions of this Indenture. The Trustee shall dispose of canceled Securities held by it in accordance with the record retention policies of the Trustee in effect from time to time and, if such canceled certificates are destroyed, shall deliver a certificate of destruction to the Issuer. If the Issuer shall acquire any of the Securities,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caps w:val="false"/>
          <w:smallCaps w:val="false"/>
          <w:sz w:val="20"/>
        </w:rPr>
        <w:t>Temporary Securities</w:t>
      </w:r>
      <w:r>
        <w:rPr>
          <w:rFonts w:ascii="Times New Roman;Times;Serif" w:hAnsi="Times New Roman;Times;Serif"/>
          <w:b w:val="false"/>
          <w:i w:val="false"/>
          <w:caps w:val="false"/>
          <w:smallCaps w:val="false"/>
          <w:sz w:val="20"/>
        </w:rPr>
        <w:t>.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caps w:val="false"/>
          <w:smallCaps w:val="false"/>
          <w:sz w:val="20"/>
        </w:rPr>
        <w:t>Computation of Interest</w:t>
      </w:r>
      <w:r>
        <w:rPr>
          <w:rFonts w:ascii="Times New Roman;Times;Serif" w:hAnsi="Times New Roman;Times;Serif"/>
          <w:b w:val="false"/>
          <w:i w:val="false"/>
          <w:caps w:val="false"/>
          <w:smallCaps w:val="false"/>
          <w:sz w:val="20"/>
        </w:rPr>
        <w:t>. Except as otherwise specified in the Securities of a series, interest shall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caps w:val="false"/>
          <w:smallCaps w:val="false"/>
          <w:sz w:val="20"/>
        </w:rPr>
        <w:t>CUSIP Numbers</w:t>
      </w:r>
      <w:r>
        <w:rPr>
          <w:rFonts w:ascii="Times New Roman;Times;Serif" w:hAnsi="Times New Roman;Times;Serif"/>
          <w:b w:val="false"/>
          <w:i w:val="false"/>
          <w:caps w:val="false"/>
          <w:smallCaps w:val="false"/>
          <w:sz w:val="20"/>
        </w:rPr>
        <w:t>. The Issuer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notify the Trustee of any change in the “CUSIP” numbers.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COVENANTS OF THE ISSUER AND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caps w:val="false"/>
          <w:smallCaps w:val="false"/>
          <w:sz w:val="20"/>
        </w:rPr>
        <w:t>Payment of Principal and Interest</w:t>
      </w:r>
      <w:r>
        <w:rPr>
          <w:rFonts w:ascii="Times New Roman;Times;Serif" w:hAnsi="Times New Roman;Times;Serif"/>
          <w:b w:val="false"/>
          <w:i w:val="false"/>
          <w:caps w:val="false"/>
          <w:smallCaps w:val="false"/>
          <w:sz w:val="20"/>
        </w:rPr>
        <w:t>. The Issuer covenants and agrees for the benefit of each series of Securities that it will duly and punctually pay or cause to be paid the Principal of, and interest on, each of the Securities of such series at the place or places, at the respective times and in the manner provided in such Securities. Each installment of interest on the Securities of any series may be paid by mailing checks for such interest payable to or upon the written order of the Holders of Securities entitled thereto as they shall appear on the registry books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provisions of this Indenture and the Securities of any series to the contrary, if the Issuer and a Holder of any Registered Security so agree or if expressly provided pursuant to Section 2.03, payments of interest on, and any portion of the Principal of, such Holder’s Registered Security shall be made by the paying agent, upon receipt from the Issuer of immediately available funds by 11:00 a.m., New York City time (or such other time as may be agreed to between the Issuer and the paying agent) or the Issuer, directly to the Holder of such Security (by wire transfer of Federal funds or immediately available funds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The Trustee shall be entitled to rely on the last instruction delivered by the Holder pursuant to this Section 3.01 unless a new instruction is delivered 15 days prior to a payment date. The Issuer will indemnify and hold each of the Trustee and any paying agent harmless against any loss, liability or expense (including attorneys’ fees and expenses) resulting from any act or omission to act on the part of the Issuer or any such Holder in connection with any such agreement or from making any payment in accordance with any such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caps w:val="false"/>
          <w:smallCaps w:val="false"/>
          <w:sz w:val="20"/>
        </w:rPr>
        <w:t>Offices for Payments, etc</w:t>
      </w:r>
      <w:r>
        <w:rPr>
          <w:rFonts w:ascii="Times New Roman;Times;Serif" w:hAnsi="Times New Roman;Times;Serif"/>
          <w:b w:val="false"/>
          <w:i w:val="false"/>
          <w:caps w:val="false"/>
          <w:smallCaps w:val="false"/>
          <w:sz w:val="20"/>
        </w:rPr>
        <w:t>. So long as any of the Securities remain outstanding, the Issuer will maintain in the Borough of Manhattan, The City of New York an office or agency (n) where the Securities may be presented for payment, (o) where the Securities may be presented for registration of transfer and for exchange as in this Indenture provided, (p) where notices and demands to or upon the Issuer in respect of the Securities or of this Indenture may be served and (q) for Securities of each series that is convertible, where such Securities may be presented for conversion. The Issuer will give to the Trustee written notice of the location of any such office or agency and of any change of location thereof. Unless otherwise specified in accordance with Section 2.03, the Issuer hereby initially designates the Corporate Trust Office of Trustee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caps w:val="false"/>
          <w:smallCaps w:val="false"/>
          <w:sz w:val="20"/>
        </w:rPr>
        <w:t>Paying Agents</w:t>
      </w:r>
      <w:r>
        <w:rPr>
          <w:rFonts w:ascii="Times New Roman;Times;Serif" w:hAnsi="Times New Roman;Times;Serif"/>
          <w:b w:val="false"/>
          <w:i w:val="false"/>
          <w:caps w:val="false"/>
          <w:smallCaps w:val="false"/>
          <w:sz w:val="20"/>
        </w:rPr>
        <w:t>.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it will give the Trustee notice of any failure by the Issuer (or by any other obligor on the Securities of such series) to make any payment of the Principal of or interest on the Securities of such series when the same shall be due and payable; and during the continuance of the failure referred to in clause Section 3.03(b)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Issuer shall have one or more paying agents for any series of Securities, it will, on or before each due date of the Principal of or interest on any Securities of such series, deposit with the paying agent or agents for the Securities of such series a sum, by 11:00 a.m. New York City time in immediately available funds on the payment date, sufficient to pay the Principal or interest so becoming due with respect to the Securities of such series, and (unless such paying agent is the Trustee) the Issuer will promptly notify the Trustee in writing of any failure so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Section 3.03 to the contrary notwithstanding, the agreement to hold sums in trust as provided in this Section 3.03 is subject to the provisions of Section 9.05.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caps w:val="false"/>
          <w:smallCaps w:val="false"/>
          <w:sz w:val="20"/>
        </w:rPr>
        <w:t>Certificate of the Issuer</w:t>
      </w:r>
      <w:r>
        <w:rPr>
          <w:rFonts w:ascii="Times New Roman;Times;Serif" w:hAnsi="Times New Roman;Times;Serif"/>
          <w:b w:val="false"/>
          <w:i w:val="false"/>
          <w:caps w:val="false"/>
          <w:smallCaps w:val="false"/>
          <w:sz w:val="20"/>
        </w:rPr>
        <w:t>. Within 120 days after the close of the fiscal year ended ●, and within 120 days after the close of each fiscal year thereafter, the Issuer will furnish to the Trustee a brief certificate (which need not comply with Section 10.05) from the principal executive, financial or accounting officer of the Issuer as to his or her knowledge of the Issuer’s compliance with all conditions and covenants under the Indenture (such compliance to be determined without regard to any period of grace or requirement of notice provided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such certificate is filed, the Issuer will also file with the Trustee a letter or statement of the independent accountants who shall have certified the financial statements of the Issuer for its preceding fiscal year to the effect that, in making the examination necessary for certification of such financial statements, they have obtained no knowledge of any default by the Issuer in the performance or fulfillment of any covenant, agreement or condition contained in this Indenture, which default remains uncured at the date of such letter or statement, or, if they shall have obtained knowledge of any such uncured default, specifying in such letter or statement such default or defaults and the nature and status thereof, it being understood that such accountants shall not be liable directly or indirectly for failure to obtain knowledge of any such default or defaults, and that nothing contained in this Section 3.04 shall be construed to require such accountants to make any investigation beyond the scope required in connection with such examination.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caps w:val="false"/>
          <w:smallCaps w:val="false"/>
          <w:sz w:val="20"/>
        </w:rPr>
        <w:t>List of Securityholders</w:t>
      </w:r>
      <w:r>
        <w:rPr>
          <w:rFonts w:ascii="Times New Roman;Times;Serif" w:hAnsi="Times New Roman;Times;Serif"/>
          <w:b w:val="false"/>
          <w:i w:val="false"/>
          <w:caps w:val="false"/>
          <w:smallCaps w:val="false"/>
          <w:sz w:val="20"/>
        </w:rPr>
        <w:t>.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10 days after each record date for the payment of interest on such Securities, as hereinabove specified, as of such record date and on dates to be determined pursuant to Section 2.03 for non-interest bearing Securities in each year and (b) at such other times as the Trustee may request in writing, within 30 days after receipt by the Issuer of any such request as of a date not more than 10 days prior to the time such information is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caps w:val="false"/>
          <w:smallCaps w:val="false"/>
          <w:sz w:val="20"/>
        </w:rPr>
        <w:t>Reports by the Issuer</w:t>
      </w:r>
      <w:r>
        <w:rPr>
          <w:rFonts w:ascii="Times New Roman;Times;Serif" w:hAnsi="Times New Roman;Times;Serif"/>
          <w:b w:val="false"/>
          <w:i w:val="false"/>
          <w:caps w:val="false"/>
          <w:smallCaps w:val="false"/>
          <w:sz w:val="20"/>
        </w:rPr>
        <w:t>. The Issuer covenants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file, whether or not required to do so under applicable law, with the Trustee, within 15 days after the Issuer files the same with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copies of the annual reports and of the information, documents, and other reports which the Issuer files with the Commission pursuant to Section 13 or Section 15(d) of the Securities Exchange Act of 1934; and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additional information, documents and reports with respect to compliance by the Issuer with the conditions and covenants provided for in this Indenture as the Issuer may from time to time file with the Commission;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transmit to the Securityholders, in the manner and to the extent provided in Section 10.04, such summaries of any information, documents and reports required to be filed with the Trustee pursuant to the provisions of subdivision (a) of this Section 3.06 as may be required by the rules and regulations of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3.07 </w:t>
      </w:r>
      <w:r>
        <w:rPr>
          <w:rFonts w:ascii="Times New Roman;Times;Serif" w:hAnsi="Times New Roman;Times;Serif"/>
          <w:b w:val="false"/>
          <w:i/>
          <w:caps w:val="false"/>
          <w:smallCaps w:val="false"/>
          <w:sz w:val="20"/>
        </w:rPr>
        <w:t>Corporate Existence</w:t>
      </w:r>
      <w:r>
        <w:rPr>
          <w:rFonts w:ascii="Times New Roman;Times;Serif" w:hAnsi="Times New Roman;Times;Serif"/>
          <w:b w:val="false"/>
          <w:i w:val="false"/>
          <w:caps w:val="false"/>
          <w:smallCaps w:val="false"/>
          <w:sz w:val="20"/>
        </w:rPr>
        <w:t>. So long as any of the Securities remain unpaid, the Issuer will at all times (except as otherwise provided or permitted elsewhere in this Indenture) do or cause to be done all things necessary to preserve and keep in full force and effect its corporate existence.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3.08 </w:t>
      </w:r>
      <w:r>
        <w:rPr>
          <w:rFonts w:ascii="Times New Roman;Times;Serif" w:hAnsi="Times New Roman;Times;Serif"/>
          <w:b w:val="false"/>
          <w:i/>
          <w:caps w:val="false"/>
          <w:smallCaps w:val="false"/>
          <w:sz w:val="20"/>
        </w:rPr>
        <w:t>Restrictions on Mergers, Sales and Consolidations</w:t>
      </w:r>
      <w:r>
        <w:rPr>
          <w:rFonts w:ascii="Times New Roman;Times;Serif" w:hAnsi="Times New Roman;Times;Serif"/>
          <w:b w:val="false"/>
          <w:i w:val="false"/>
          <w:caps w:val="false"/>
          <w:smallCaps w:val="false"/>
          <w:sz w:val="20"/>
        </w:rPr>
        <w:t>. So long as any of the Securities remain unpaid, the Issuer will not consolidate or merge with or sell, convey or lease all or substantially all of its property to any other corporation except as permitted in Article 8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3.09 </w:t>
      </w:r>
      <w:r>
        <w:rPr>
          <w:rFonts w:ascii="Times New Roman;Times;Serif" w:hAnsi="Times New Roman;Times;Serif"/>
          <w:b w:val="false"/>
          <w:i/>
          <w:caps w:val="false"/>
          <w:smallCaps w:val="false"/>
          <w:sz w:val="20"/>
        </w:rPr>
        <w:t>Further Assurances</w:t>
      </w:r>
      <w:r>
        <w:rPr>
          <w:rFonts w:ascii="Times New Roman;Times;Serif" w:hAnsi="Times New Roman;Times;Serif"/>
          <w:b w:val="false"/>
          <w:i w:val="false"/>
          <w:caps w:val="false"/>
          <w:smallCaps w:val="false"/>
          <w:sz w:val="20"/>
        </w:rPr>
        <w:t>. From time to time whenever requested by the Trustee, the Issuer will execute and deliver such further instruments and assurances and do such further acts as may be reasonably necessary or proper to carry out more effectually the purposes of this Indenture or to secure the rights and remedies hereunder of the Holders of the Securities of any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REMEDIES OF THE TRUSTEE AND SECURITYHOLDERS ON EVENT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caps w:val="false"/>
          <w:smallCaps w:val="false"/>
          <w:sz w:val="20"/>
        </w:rPr>
        <w:t>Event of Default Defined; Acceleration of Maturity; Waiver of Default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by the Issuer in the payment of any installment of interest upon any of the Securities of such series as and when the same shall become due and payable, and continuance of such default for a period of 30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by the Issuer in the payment of all or any part of the Principal on any of the Securities of such series as and when the same shall become due and payable either at maturity, upon redemption, by declaration or otherwise, and continuance of such default for a period of five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by the Issuer in the performance, or breach by the Issuer, of any of its covenants or agreements in respect of the Securities of such series (other than a covenant or agreement in respect of the Securities of such series a default in whose performance or whose breach is elsewhere in this section specifically dealt with), and continuance of such default or breach for a period of 30 consecutive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notice of default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entry by a court having jurisdiction in the premises of a decree or order for relief in respect of the Issuer in an involuntary case under any applicable bankruptcy, insolvency or other similar law now or hereafter in effect, or the appointment of a receiver, liquidator, assignee, custodian, trustee or sequestrator (or similar official) of the Issuer or for any substantial part of the Issuer’s property and assets or the ordering of the winding up or liquidation of the Issuer’s affairs, and the continuance of any such decree or order unstayed and in effect for a period of 90 consecutive days;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commencement by the Issuer of a voluntary case under any applicable bankruptcy, insolvency or other similar law now or hereafter in effect, or the consent by the Issuer to the entry of an order for relief in an involuntary case under any such law, or the consent by the Issuer to the appointment of or taking possession by a receiver, liquidator, assignee, custodian, trustee or sequestrator (or similar official) of the Issuer or for any substantial part of the Issuer’s property, or the making of any general assignment by the Issuer for the benefit of creditors;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Event of Default provided in the supplemental indenture or resolution of the Board of Directors under which such series of Securities is issued or in the form of Security for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described in clauses 4.01(a), 4.01(b), 4.01(c) or 4.01(f) occurs and is continuing, then, and in each and every such case, unless the Principal of all of the Securities of such series shall have already become due and payable, either the Trustee or the Holders of not less than 25% in aggregate Principal amount of the Securities of any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Section 4.01(d) or Section 4.01(e) occurs and is continuing, then the Principal amount of all the Securities then Outstanding and interest accrued thereon, if any, shall be and become immediately due and payable, without any notice or other action by any Holder or the Trustee, to the full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monies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each such series voting as a separate class,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caps w:val="false"/>
          <w:smallCaps w:val="false"/>
          <w:sz w:val="20"/>
        </w:rPr>
        <w:t>Collection of Indebtedness by Trustee; Trustee May Prove Debt</w:t>
      </w:r>
      <w:r>
        <w:rPr>
          <w:rFonts w:ascii="Times New Roman;Times;Serif" w:hAnsi="Times New Roman;Times;Serif"/>
          <w:b w:val="false"/>
          <w:i w:val="false"/>
          <w:caps w:val="false"/>
          <w:smallCaps w:val="false"/>
          <w:sz w:val="20"/>
        </w:rPr>
        <w:t>. The Issuer covenants that (h) in case default shall be made in the payment of any installment of interest on any of the Securities of any series when such interest shall have become due and payable, and such default shall have continued for a period of 30 days or (i)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in each case upon demand of the Trustee, the Issuer will pay to the Trustee for the benefit of the Holders of the Securities of such series (x)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(y) in addition thereto, such further amount as shall be sufficient to cover the costs and expenses of collection, including reasonable compensation to the Trustee and each predecessor Trustee, their respective agents and counsel, and any expenses and liabilities incurred, and all advances made, by the Trustee and each predecessor Trustee except as a result of its negligence or bad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demand is made by the Trustee, the Issuer may pay the Principal of and interest on the Securities of any series to the registered Holders, whether or not the Principal of and interest on the Securities of such series be overdue.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monies adjudged or decreed to be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collect and receive any monies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5.06.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caps w:val="false"/>
          <w:smallCaps w:val="false"/>
          <w:sz w:val="20"/>
        </w:rPr>
        <w:t>Application of Proceeds</w:t>
      </w:r>
      <w:r>
        <w:rPr>
          <w:rFonts w:ascii="Times New Roman;Times;Serif" w:hAnsi="Times New Roman;Times;Serif"/>
          <w:b w:val="false"/>
          <w:i w:val="false"/>
          <w:caps w:val="false"/>
          <w:smallCaps w:val="false"/>
          <w:sz w:val="20"/>
        </w:rPr>
        <w:t>. Any monies collected by the Trustee pursuant to this Article in respect of any series shall be applied in the following order at the date or dates fixed by the Trustee and, in case of the distribution of such monies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costs and expenses applicable to such series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 and all other amounts due to the Trustee or any predecessor Trustee pursuant to Section 5.06;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In case the Principal of the Securities of such series in respect of which monies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In case the Principal of the Securities of such series in respect of which monies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monies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payment of the remainder, if any, to the Issuer or any other person lawfully entitled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caps w:val="false"/>
          <w:smallCaps w:val="false"/>
          <w:sz w:val="20"/>
        </w:rPr>
        <w:t>Suits for Enforcement</w:t>
      </w:r>
      <w:r>
        <w:rPr>
          <w:rFonts w:ascii="Times New Roman;Times;Serif" w:hAnsi="Times New Roman;Times;Serif"/>
          <w:b w:val="false"/>
          <w:i w:val="false"/>
          <w:caps w:val="false"/>
          <w:smallCaps w:val="false"/>
          <w:sz w:val="20"/>
        </w:rPr>
        <w:t>. In case an Event of Default has occurred, has not been waived and is continuing, the Trustee may proceed to protect and enforce the rights vested in it by this Indenture,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caps w:val="false"/>
          <w:smallCaps w:val="false"/>
          <w:sz w:val="20"/>
        </w:rPr>
        <w:t>Restoration of Rights on Abandonment of Proceedings</w:t>
      </w:r>
      <w:r>
        <w:rPr>
          <w:rFonts w:ascii="Times New Roman;Times;Serif" w:hAnsi="Times New Roman;Times;Serif"/>
          <w:b w:val="false"/>
          <w:i w:val="false"/>
          <w:caps w:val="false"/>
          <w:smallCaps w:val="false"/>
          <w:sz w:val="20"/>
        </w:rPr>
        <w:t>.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caps w:val="false"/>
          <w:smallCaps w:val="false"/>
          <w:sz w:val="20"/>
        </w:rPr>
        <w:t>Limitations on Suits by Securityholder</w:t>
      </w:r>
      <w:r>
        <w:rPr>
          <w:rFonts w:ascii="Times New Roman;Times;Serif" w:hAnsi="Times New Roman;Times;Serif"/>
          <w:b w:val="false"/>
          <w:i w:val="false"/>
          <w:caps w:val="false"/>
          <w:smallCaps w:val="false"/>
          <w:sz w:val="20"/>
        </w:rPr>
        <w:t>.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an Event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respect of such Event of Default in its own name as trustee hereunder and shall have offered to the Trustee indemnity satisfactory to the Trustee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caps w:val="false"/>
          <w:smallCaps w:val="false"/>
          <w:sz w:val="20"/>
        </w:rPr>
        <w:t>Unconditional Right of Securityholders to Institute Certain Suits</w:t>
      </w:r>
      <w:r>
        <w:rPr>
          <w:rFonts w:ascii="Times New Roman;Times;Serif" w:hAnsi="Times New Roman;Times;Serif"/>
          <w:b w:val="false"/>
          <w:i w:val="false"/>
          <w:caps w:val="false"/>
          <w:smallCaps w:val="false"/>
          <w:sz w:val="20"/>
        </w:rPr>
        <w:t>. Notwithstanding any other provision in this Indenture and any provision of any Security, the right of any Holder of any Security to receive payment of the Principal of or interest on such Security on or after the respective due dates expressed in such Security, or to institute suit for the enforcement of any such payment on or after such respective dates, shall not be impaired or affected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caps w:val="false"/>
          <w:smallCaps w:val="false"/>
          <w:sz w:val="20"/>
        </w:rPr>
        <w:t>Powers and Remedies Cumulative; Delay or Omission Not Waiver of Default</w:t>
      </w:r>
      <w:r>
        <w:rPr>
          <w:rFonts w:ascii="Times New Roman;Times;Serif" w:hAnsi="Times New Roman;Times;Serif"/>
          <w:b w:val="false"/>
          <w:i w:val="false"/>
          <w:caps w:val="false"/>
          <w:smallCaps w:val="false"/>
          <w:sz w:val="20"/>
        </w:rPr>
        <w:t>. Except as provided in Section 4.06,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this Indenture or by law to the Trustee or to the Securityholders may be exercised from time to time, and as often as shall be deemed expedient, by the Trustee or by the Securityholders.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caps w:val="false"/>
          <w:smallCaps w:val="false"/>
          <w:sz w:val="20"/>
        </w:rPr>
        <w:t>Control by Securityholders</w:t>
      </w:r>
      <w:r>
        <w:rPr>
          <w:rFonts w:ascii="Times New Roman;Times;Serif" w:hAnsi="Times New Roman;Times;Serif"/>
          <w:b w:val="false"/>
          <w:i w:val="false"/>
          <w:caps w:val="false"/>
          <w:smallCaps w:val="false"/>
          <w:sz w:val="20"/>
        </w:rPr>
        <w:t>.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5.01)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subject the Trustee to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shall impair the right of the Trustee to take any action which is not inconsistent with such direction or directions by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caps w:val="false"/>
          <w:smallCaps w:val="false"/>
          <w:sz w:val="20"/>
        </w:rPr>
        <w:t>Waiver of Past Defaults</w:t>
      </w:r>
      <w:r>
        <w:rPr>
          <w:rFonts w:ascii="Times New Roman;Times;Serif" w:hAnsi="Times New Roman;Times;Serif"/>
          <w:b w:val="false"/>
          <w:i w:val="false"/>
          <w:caps w:val="false"/>
          <w:smallCaps w:val="false"/>
          <w:sz w:val="20"/>
        </w:rPr>
        <w:t>. Prior to a declaration of the acceleration of the maturity of the Securities of any series as provided in Section 4.01, the Holders of a majority in aggregate Principal amount of the Securities of such series at the time Outstanding (each such series voting as a separate class) may on behalf of the Holders of all the Securities of such series waive an existing default or Event of Default, except a default in the payment of Principal of or interest on any Security as specified in clauses (a) or (b) of Section 4.01 or in respect of a covenant or provision hereof which cannot be modified or amended without the consent of each Holder affected as provided in Section 7.02. In the case of any such waiver, the Issuer, the Trustee and the Holders of the Securities of each series affected shall be restored to their former positions and rights hereunder,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caps w:val="false"/>
          <w:smallCaps w:val="false"/>
          <w:sz w:val="20"/>
        </w:rPr>
        <w:t>Trustee to Give Notice of Default, But May Withhold in Certain Circumstances</w:t>
      </w:r>
      <w:r>
        <w:rPr>
          <w:rFonts w:ascii="Times New Roman;Times;Serif" w:hAnsi="Times New Roman;Times;Serif"/>
          <w:b w:val="false"/>
          <w:i w:val="false"/>
          <w:caps w:val="false"/>
          <w:smallCaps w:val="false"/>
          <w:sz w:val="20"/>
        </w:rPr>
        <w:t xml:space="preserve">. The Trustee shall give to the Securityholders of any series, as the names and addresses of such Holders appear on the registry books, notice by mail of all defaults known to Responsible Officers of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except in the case of default in the payment of the Principal of or interest on any of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caps w:val="false"/>
          <w:smallCaps w:val="false"/>
          <w:sz w:val="20"/>
        </w:rPr>
        <w:t>Right of Court to Require Filing of Undertaking to Pay Costs</w:t>
      </w:r>
      <w:r>
        <w:rPr>
          <w:rFonts w:ascii="Times New Roman;Times;Serif" w:hAnsi="Times New Roman;Times;Serif"/>
          <w:b w:val="false"/>
          <w:i w:val="false"/>
          <w:caps w:val="false"/>
          <w:smallCaps w:val="false"/>
          <w:sz w:val="20"/>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provided that the provisions of this Section 4.12 shall not apply to (i) any suit instituted by the Trustee, (ii) any suit instituted by any Securityholder or group of Securityholders of any series holding in the aggregate more than 10% in aggregate Principal amount of the Securities of such series or (iii) any suit instituted by a Holder pursuant to Section 4.07.</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CONCERNING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caps w:val="false"/>
          <w:smallCaps w:val="false"/>
          <w:sz w:val="20"/>
        </w:rPr>
        <w:t>Duties and Responsibilities of the Trustee</w:t>
      </w:r>
      <w:r>
        <w:rPr>
          <w:rFonts w:ascii="Times New Roman;Times;Serif" w:hAnsi="Times New Roman;Times;Serif"/>
          <w:b w:val="false"/>
          <w:i w:val="false"/>
          <w:caps w:val="false"/>
          <w:smallCaps w:val="false"/>
          <w:sz w:val="20"/>
        </w:rPr>
        <w: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occurrence of an Event of Default with respect to the Securities of any series and after the curing or waiving of all such Events of Default with respect to such series which may have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subsection (b) shall not be construed to limit the effect of subsection (a) of this Section 5.01;</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or Responsible Officers of the Trustee, unless it shall be proved that the Trustee was negligent in ascertaining the pertinent facts;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suffered or omitted to be taken by it in good faith in accordance with the direction of the Holders relating to the time, method and place of conducting any proceeding for any remedy available to the Trustee, or exercising any trust or power conferred upon the Trustee, under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5.01 are in furtherance of and subject to Sections 315 and 316 of the Trust Indenture Act of 1939.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therein expressly provided, every provision of this Indenture relating to the conduct of, affecting the liability of or affording protection to the Trustee shall be subject to the provisions of this Section 5.01.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caps w:val="false"/>
          <w:smallCaps w:val="false"/>
          <w:sz w:val="20"/>
        </w:rPr>
        <w:t>Certain Rights of the Trustee</w:t>
      </w:r>
      <w:r>
        <w:rPr>
          <w:rFonts w:ascii="Times New Roman;Times;Serif" w:hAnsi="Times New Roman;Times;Serif"/>
          <w:b w:val="false"/>
          <w:i w:val="false"/>
          <w:caps w:val="false"/>
          <w:smallCaps w:val="false"/>
          <w:sz w:val="20"/>
        </w:rPr>
        <w:t>. In furtherance of and subject to the Trust Indenture Act of 1939, and subject to Section 5.01: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absence of bad faith on its part, the Trustee may conclusively rely and shall be protected in acting or refraining from acting upon any resolution, Officers’ Certificate or any other certificate, statement, instrument, opinion, report, notice, request, direction, consent, order, bond, debenture, note, coupon, security or other paper or document believed by it to be genuine and to have been signed or presented by the proper party or parties;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by it in connection with such request, order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for any action taken or omitted by it in good faith and believed by it to be authorized or within the discretion, rights or powers conferred upon it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it against such expenses or liabilities as a condition to proceeding, and the reasonable expenses of every such investigation shall be paid by the Issuer or, if paid by the Trustee or any predecessor trustee, shall be repaid by the Issuer upon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liable for any action taken, suffered or omitted in good faith and believed by it to be authorized or within the discretion, rights or powers conferred upon it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caps w:val="false"/>
          <w:smallCaps w:val="false"/>
          <w:sz w:val="20"/>
        </w:rPr>
        <w:t>Trustee Not Responsible for Recitals, Disposition of Securities or Application of Proceeds Thereof</w:t>
      </w:r>
      <w:r>
        <w:rPr>
          <w:rFonts w:ascii="Times New Roman;Times;Serif" w:hAnsi="Times New Roman;Times;Serif"/>
          <w:b w:val="false"/>
          <w:i w:val="false"/>
          <w:caps w:val="false"/>
          <w:smallCaps w:val="false"/>
          <w:sz w:val="20"/>
        </w:rPr>
        <w:t>.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the Securities. The Trustee shall not be accountable for the use or application by the Issuer of any of the Securities or of the proceeds thereof.</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caps w:val="false"/>
          <w:smallCaps w:val="false"/>
          <w:sz w:val="20"/>
        </w:rPr>
        <w:t>Trustee and Agents May Hold Securities; Collections, etc</w:t>
      </w:r>
      <w:r>
        <w:rPr>
          <w:rFonts w:ascii="Times New Roman;Times;Serif" w:hAnsi="Times New Roman;Times;Serif"/>
          <w:b w:val="false"/>
          <w:i w:val="false"/>
          <w:caps w:val="false"/>
          <w:smallCaps w:val="false"/>
          <w:sz w:val="20"/>
        </w:rPr>
        <w:t>.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caps w:val="false"/>
          <w:smallCaps w:val="false"/>
          <w:sz w:val="20"/>
        </w:rPr>
        <w:t>Monies Held by Trustee</w:t>
      </w:r>
      <w:r>
        <w:rPr>
          <w:rFonts w:ascii="Times New Roman;Times;Serif" w:hAnsi="Times New Roman;Times;Serif"/>
          <w:b w:val="false"/>
          <w:i w:val="false"/>
          <w:caps w:val="false"/>
          <w:smallCaps w:val="false"/>
          <w:sz w:val="20"/>
        </w:rPr>
        <w:t>. All monies received by the Trustee in trust hereunder need not be segregated from other funds except to the extent required by mandatory provisions of law. Neither the Trustee nor any agent of the Issuer or the Trustee shall be under any liability for interest on any monies received by 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caps w:val="false"/>
          <w:smallCaps w:val="false"/>
          <w:sz w:val="20"/>
        </w:rPr>
        <w:t>Compensation and Indemnification of Trustee and Its Prior Claim</w:t>
      </w:r>
      <w:r>
        <w:rPr>
          <w:rFonts w:ascii="Times New Roman;Times;Serif" w:hAnsi="Times New Roman;Times;Serif"/>
          <w:b w:val="false"/>
          <w:i w:val="false"/>
          <w:caps w:val="false"/>
          <w:smallCaps w:val="false"/>
          <w:sz w:val="20"/>
        </w:rPr>
        <w:t>. The Issuer covenants and agrees to pay to the Trustee from time to time, and the Trustee shall be entitled to, such compensation as shall be agreed in writing from time to time by the Issuer and the Trustee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may arise from its negligence or bad faith. The Issuer also covenants and agrees to indemnify the Trustee and each predecessor Trustee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(whether asserted by the Issuer, a Holder or any other Person) in the premises, except to the extent such loss, liability or expense is due to the negligence or bad faith of the Trustee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resignation or removal of the Trustee. Such additional indebtedness shall be a senior claim and lien to that of the Securities upon all property and funds held or collected by the Trustee as such, except funds held in trust for the benefit of the Holders of particular Securities, and the Securities are hereby subordinated to such senior claim. The parties agree that if the Trustee renders services following an Event of Default under Section 4.01(d) or 4.01(e), compensation for such services is intended to constitute administrative expense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caps w:val="false"/>
          <w:smallCaps w:val="false"/>
          <w:sz w:val="20"/>
        </w:rPr>
        <w:t>Right of Trustee to Rely on Officers’ Certificate, etc</w:t>
      </w:r>
      <w:r>
        <w:rPr>
          <w:rFonts w:ascii="Times New Roman;Times;Serif" w:hAnsi="Times New Roman;Times;Serif"/>
          <w:b w:val="false"/>
          <w:i w:val="false"/>
          <w:caps w:val="false"/>
          <w:smallCaps w:val="false"/>
          <w:sz w:val="20"/>
        </w:rPr>
        <w:t>. Subject to Section 5.01 and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caps w:val="false"/>
          <w:smallCaps w:val="false"/>
          <w:sz w:val="20"/>
        </w:rPr>
        <w:t>Persons Eligible for Appointment as Trustee</w:t>
      </w:r>
      <w:r>
        <w:rPr>
          <w:rFonts w:ascii="Times New Roman;Times;Serif" w:hAnsi="Times New Roman;Times;Serif"/>
          <w:b w:val="false"/>
          <w:i w:val="false"/>
          <w:caps w:val="false"/>
          <w:smallCaps w:val="false"/>
          <w:sz w:val="20"/>
        </w:rPr>
        <w:t>. The Trustee for each series of Securities hereunder shall at all times be a corporation which is eligible in accordance with the provisions of Section 310(a) of the Trust Indenture Act of 1939 and which has (or which is a Wholly-Owned Subsidiary, directly or indirectly, of a bank holding company which has) a combined capital and surplus of $50,000,000. If such corporation or holding company publishes reports of condition at least annually, pursuant to law or to the requirements of a Federal, State or District of Columbia supervising or examining authority, then for the purposes of this Section, the combined capital and surplus of such corporation or holding company shall be deemed to be its combined capital and surplus as set forth in its most recent report of condition so published.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val="false"/>
          <w:i/>
          <w:caps w:val="false"/>
          <w:smallCaps w:val="false"/>
          <w:sz w:val="20"/>
        </w:rPr>
        <w:t>Resignation and Removal; Appointment of Successor Trustee</w:t>
      </w:r>
      <w:r>
        <w:rPr>
          <w:rFonts w:ascii="Times New Roman;Times;Serif" w:hAnsi="Times New Roman;Times;Serif"/>
          <w:b w:val="false"/>
          <w:i w:val="false"/>
          <w:caps w:val="false"/>
          <w:smallCaps w:val="false"/>
          <w:sz w:val="20"/>
        </w:rPr>
        <w:t>. (a) The Trustee, or any trustee or trustees hereafter appointed, may at any time resign with respect to one or more or all series of Securities by giving written notice of resignation to the Issuer.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at the expense of the Issuer,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of the following shall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cease to be eligible in accordance with the provisions of Section 310(a) of the Trust Indenture Act of 1939 and shall fail to resign after written request therefor by the Issuer or by any Securityholder;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 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in Section 6.01 of the action in that regard taken by the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with respect to any series and any appointment of a successor trustee with respect to such series pursuant to any of the provisions of this Section 5.09 shall become effective upon acceptance of appointment by the successor trustee as provided in Section 5.10.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caps w:val="false"/>
          <w:smallCaps w:val="false"/>
          <w:sz w:val="20"/>
        </w:rPr>
        <w:t>Acceptance of Appointment by Successor</w:t>
      </w:r>
      <w:r>
        <w:rPr>
          <w:rFonts w:ascii="Times New Roman;Times;Serif" w:hAnsi="Times New Roman;Times;Serif"/>
          <w:b w:val="false"/>
          <w:i w:val="false"/>
          <w:caps w:val="false"/>
          <w:smallCaps w:val="false"/>
          <w:sz w:val="20"/>
        </w:rPr>
        <w:t>. Any successor Trustee appointed as provided in Section 5.09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On the written request of the Issuer or of the successor Trustee, upon payment of its charges then unpaid, the Trustee ceasing to act shall, subject to Section 5.06, pay over to the successor Trustee all monies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10 days after acceptance of appointment by the successor Trustee, the successor Trustee shall cause such notice to be mailed at the expense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caps w:val="false"/>
          <w:smallCaps w:val="false"/>
          <w:sz w:val="20"/>
        </w:rPr>
        <w:t>Merger, Conversion, Consolidation or Succession to Business of Trustee</w:t>
      </w:r>
      <w:r>
        <w:rPr>
          <w:rFonts w:ascii="Times New Roman;Times;Serif" w:hAnsi="Times New Roman;Times;Serif"/>
          <w:b w:val="false"/>
          <w:i w:val="false"/>
          <w:caps w:val="false"/>
          <w:smallCaps w:val="false"/>
          <w:sz w:val="20"/>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that such corporation shall be eligible under the provisions of Section 5.08, without the execution or filing of any paper or any further act on the part of any of the parties hereto, anything herein to the contrary notwithstanding.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caps w:val="false"/>
          <w:smallCaps w:val="false"/>
          <w:sz w:val="20"/>
        </w:rPr>
        <w:t>Reports to the Trustee</w:t>
      </w:r>
      <w:r>
        <w:rPr>
          <w:rFonts w:ascii="Times New Roman;Times;Serif" w:hAnsi="Times New Roman;Times;Serif"/>
          <w:b w:val="false"/>
          <w:i w:val="false"/>
          <w:caps w:val="false"/>
          <w:smallCaps w:val="false"/>
          <w:sz w:val="20"/>
        </w:rPr>
        <w:t>.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sixty days after each May 15 following the date of the initial issuance of Securities under this Indenture deliver to Holders a brief report, dated as of such May 15, which complies with the provisions of such Section 313(a).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such report shall, at the time of such transmission to Holders, be filed by the Trustee with each stock exchange, if any, upon which the Securities are listed, with the Commission and with the Issuer. The Issuer will promptly notify the Trustee when the Securities are listed on any stock exchange and of any delisting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CONCERNING THE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caps w:val="false"/>
          <w:smallCaps w:val="false"/>
          <w:sz w:val="20"/>
        </w:rPr>
        <w:t>Evidence of Action Taken by Securityholders</w:t>
      </w:r>
      <w:r>
        <w:rPr>
          <w:rFonts w:ascii="Times New Roman;Times;Serif" w:hAnsi="Times New Roman;Times;Serif"/>
          <w:b w:val="false"/>
          <w:i w:val="false"/>
          <w:caps w:val="false"/>
          <w:smallCaps w:val="false"/>
          <w:sz w:val="20"/>
        </w:rPr>
        <w:t>.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 5.01 and 5.02) conclusive in favor of the Trustee and the Issuer, if made in the manner provided in this Article.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caps w:val="false"/>
          <w:smallCaps w:val="false"/>
          <w:sz w:val="20"/>
        </w:rPr>
        <w:t>Proof of Execution of Instruments and of Holding of Securities; Record Date</w:t>
      </w:r>
      <w:r>
        <w:rPr>
          <w:rFonts w:ascii="Times New Roman;Times;Serif" w:hAnsi="Times New Roman;Times;Serif"/>
          <w:b w:val="false"/>
          <w:i w:val="false"/>
          <w:caps w:val="false"/>
          <w:smallCaps w:val="false"/>
          <w:sz w:val="20"/>
        </w:rPr>
        <w:t>. Subject to Section 5.01 and 5.02, the execution of any instrument by a Securityholder or his agent or proxy may be proved by the certificate of any notary public or other officer authorized to take acknowledgment of deeds, that the Person executing such instrument acknowledged to such notary public or other such officer the execution thereof, or by an affidavit of a witness to such execution sworn to before any such notary public or other officer. Where such execution is by an officer of a corporation or association or a member of a partnership on behalf of such corporation, association or partnership, as the case may be, or by any other Person acting in a representative capacity, such certificate or affidavit shall also constitute sufficient proof of such Person’s authority.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caps w:val="false"/>
          <w:smallCaps w:val="false"/>
          <w:sz w:val="20"/>
        </w:rPr>
        <w:t>Holders to be Treated as Owners</w:t>
      </w:r>
      <w:r>
        <w:rPr>
          <w:rFonts w:ascii="Times New Roman;Times;Serif" w:hAnsi="Times New Roman;Times;Serif"/>
          <w:b w:val="false"/>
          <w:i w:val="false"/>
          <w:caps w:val="false"/>
          <w:smallCaps w:val="false"/>
          <w:sz w:val="20"/>
        </w:rPr>
        <w:t>. Prior to due presentment of a Security for registration of transfer,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monies payable upon any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caps w:val="false"/>
          <w:smallCaps w:val="false"/>
          <w:sz w:val="20"/>
        </w:rPr>
        <w:t>Securities Owned by Issuer Deemed Not Outstanding</w:t>
      </w:r>
      <w:r>
        <w:rPr>
          <w:rFonts w:ascii="Times New Roman;Times;Serif" w:hAnsi="Times New Roman;Times;Serif"/>
          <w:b w:val="false"/>
          <w:i w:val="false"/>
          <w:caps w:val="false"/>
          <w:smallCaps w:val="false"/>
          <w:sz w:val="20"/>
        </w:rPr>
        <w:t>.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as to which the Trustee has received written notice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 5.01 and 5.02, the Trustee shall be entitled to accept such Officers’ Certificate as conclusive evidence of the facts therein set forth and of the fact that all Securities not listed therein are Outstanding for the purpose of any such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caps w:val="false"/>
          <w:smallCaps w:val="false"/>
          <w:sz w:val="20"/>
        </w:rPr>
        <w:t>Right of Revocation of Action Taken</w:t>
      </w:r>
      <w:r>
        <w:rPr>
          <w:rFonts w:ascii="Times New Roman;Times;Serif" w:hAnsi="Times New Roman;Times;Serif"/>
          <w:b w:val="false"/>
          <w:i w:val="false"/>
          <w:caps w:val="false"/>
          <w:smallCaps w:val="false"/>
          <w:sz w:val="20"/>
        </w:rPr>
        <w:t>.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SUPPLEMENTAL INDENTURES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caps w:val="false"/>
          <w:smallCaps w:val="false"/>
          <w:sz w:val="20"/>
        </w:rPr>
        <w:t>Supplemental Indentures Without Consent of Securityholders</w:t>
      </w:r>
      <w:r>
        <w:rPr>
          <w:rFonts w:ascii="Times New Roman;Times;Serif" w:hAnsi="Times New Roman;Times;Serif"/>
          <w:b w:val="false"/>
          <w:i w:val="false"/>
          <w:caps w:val="false"/>
          <w:smallCaps w:val="false"/>
          <w:sz w:val="20"/>
        </w:rPr>
        <w:t>. The Issuer, when authorized by a resolution of its Board of Directors certified to the Trustee, and the Trustee may from time to time and at any time enter into an indenture or indentures supplemental hereto for one or more of the following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evidence the succession of another corporation to the Issuer, or successive successions, and the assumption by the successor corporation of the covenants, agreements and obligations of the Issuer pursuant to Article 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to cure any ambiguity or to correct or supplement any provision contained herein or in any supplemental indenture which may be defective or inconsistent with any other provision contained herein or in any supplemental indenture, (ii) to conform the terms of Securities to the description thereof in the prospectus and prospectus supplement (or similar offering document) offering such Securities or (iii) to make such other provisions in regard to matters or questions arising under this Indenture or under any supplemental indenture as the Board of Directors may deem necessary or desirable and which shall not adversely affect the interests of the Holders of the Securities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establish the form or terms of Securities of any series as permitted by Section 2.01 and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comply with any requirements of the Commission in connection with the qualification of this Indenture under the Trust Indenture Act of 1939;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provide for uncertificated or Unregistered Securities and to make all appropriate changes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make any change that would not reasonably be expected to adversely affect the rights of any Holder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add to the covenants of the Issuer such new covenants, restrictions, conditions or provisions as its Board of Directors shall consider to be for the protection of the Holders of Securities,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make any change so long as no Securities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without the consent of the Holders of any of the Securities at the time outstanding, notwithstanding any of the provisions of Section 7.02.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caps w:val="false"/>
          <w:smallCaps w:val="false"/>
          <w:sz w:val="20"/>
        </w:rPr>
        <w:t>Supplemental Indentures With Consent of Securityholders</w:t>
      </w:r>
      <w:r>
        <w:rPr>
          <w:rFonts w:ascii="Times New Roman;Times;Serif" w:hAnsi="Times New Roman;Times;Serif"/>
          <w:b w:val="false"/>
          <w:i w:val="false"/>
          <w:caps w:val="false"/>
          <w:smallCaps w:val="false"/>
          <w:sz w:val="20"/>
        </w:rPr>
        <w:t>. With the consent (evidenced as provided in Article 6)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provided, that no such supplemental indenture shall without the consent of each Holder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the stated maturity of the Principal of, or the time of payment of any installment of interest on, such Holder’s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Principal thereof or the rate of interest thereon, or any premium payable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change any place of payment where, or the currency in which, any Security or any premium or the interest thereon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change the provisions for calculating any redemption or repurchase price, including the definitions relating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change to Section 4.07 or Section 4.10 (except to include other provisions subject to Section 4.10);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reduce the percentage in Principal amount of outstanding Securities of the relevant series the consent of whose Holders is required for any such supplemental indenture, for any waiver of compliance with any provisions of this Indenture or any defaults and their consequences provided for in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alter or impair the right to convert any Security at the rate and upon the terms provided in Article 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waive a default in the payment of Principal of or interest on any Security of such Holder (except pursuant to a rescission of acceleration pursuant to Section 4.01);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adversely affect the rights of such Holder under any mandatory redemption or repurchase provision or any right of redemption or repurchase at the option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modify any of the provisions of this Section 7.02, except to increase any such percentage or to provide that certain other provisions of this Indenture cannot be modified or waived without the consent of the Holder of each outstanding Security affected thereby;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change or waive any provision that, pursuant to a board resolution or indenture supplemental hereto establishing the terms of one or more series of Securities, is prohibited to be so changed or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under this section to approve the particular form of any proposed supplemental indenture, but it shall be sufficient if such consent shall approve the substance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Issuer and the Trustee of any supplemental indenture pursuant to the provisions of this Section, the Issuer shall mail a notice thereof by first class mail to the Holders of Securities of each series affected thereby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caps w:val="false"/>
          <w:smallCaps w:val="false"/>
          <w:sz w:val="20"/>
        </w:rPr>
        <w:t>Effect of Supplemental Indenture</w:t>
      </w:r>
      <w:r>
        <w:rPr>
          <w:rFonts w:ascii="Times New Roman;Times;Serif" w:hAnsi="Times New Roman;Times;Serif"/>
          <w:b w:val="false"/>
          <w:i w:val="false"/>
          <w:caps w:val="false"/>
          <w:smallCaps w:val="false"/>
          <w:sz w:val="20"/>
        </w:rPr>
        <w:t>.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caps w:val="false"/>
          <w:smallCaps w:val="false"/>
          <w:sz w:val="20"/>
        </w:rPr>
        <w:t>Documents to Be Given to Trustee</w:t>
      </w:r>
      <w:r>
        <w:rPr>
          <w:rFonts w:ascii="Times New Roman;Times;Serif" w:hAnsi="Times New Roman;Times;Serif"/>
          <w:b w:val="false"/>
          <w:i w:val="false"/>
          <w:caps w:val="false"/>
          <w:smallCaps w:val="false"/>
          <w:sz w:val="20"/>
        </w:rPr>
        <w:t>. The Trustee, subject to the provisions of Section 5.01 and 5.02, may receive an Officers’ Certificate and an Opinion of Counsel as conclusive evidence that any supplemental indenture executed pursuant to this Article 7 complies with the applicable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caps w:val="false"/>
          <w:smallCaps w:val="false"/>
          <w:sz w:val="20"/>
        </w:rPr>
        <w:t>Notation on Securities in Respect of Supplemental Indentures</w:t>
      </w:r>
      <w:r>
        <w:rPr>
          <w:rFonts w:ascii="Times New Roman;Times;Serif" w:hAnsi="Times New Roman;Times;Serif"/>
          <w:b w:val="false"/>
          <w:i w:val="false"/>
          <w:caps w:val="false"/>
          <w:smallCaps w:val="false"/>
          <w:sz w:val="20"/>
        </w:rPr>
        <w:t>.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at any such meeting.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CONSOLIDATION, MERGER, SALE OR CONVEYANCE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caps w:val="false"/>
          <w:smallCaps w:val="false"/>
          <w:sz w:val="20"/>
        </w:rPr>
        <w:t>Issuer May Consolidate, etc., on Certain Terms</w:t>
      </w:r>
      <w:r>
        <w:rPr>
          <w:rFonts w:ascii="Times New Roman;Times;Serif" w:hAnsi="Times New Roman;Times;Serif"/>
          <w:b w:val="false"/>
          <w:i w:val="false"/>
          <w:caps w:val="false"/>
          <w:smallCaps w:val="false"/>
          <w:sz w:val="20"/>
        </w:rPr>
        <w:t xml:space="preserve">. The Issuer covenants that it will not merge or consolidate with any other Person or sell, convey, transfer, lease or otherwise dispose of all or substantially all of its property and assets to any Person (other than a consolidation with or merger with or into or a sale, conveyance, transfer, lease or other disposition to a Wholly-Owned Subsidiary with a positive net worth;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connection with any such merger of the Issuer with a Wholly-Owned Subsidiary, no consideration (other than common stock) in the surviving person or the Issuer shall be issued or distributed to the stockholders of the Issuer), unless (xiv) either (x) the Issuer shall be the continuing corporation, or the successor corporation or (y) the Person formed by such consolidation or into which the Issuer is merged or that acquires by sale or conveyance substantially all the assets of the Issuer (if other than the Issuer) shall be a corporation or limited liability company organized and validly existing under the laws of the United States of America or any jurisdiction thereof and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Person, (xv) immediately after giving effect to such transaction, no default or Event of Default shall have occurred and be continuing and (xvi) the Issuer delivers to the Trustee an Officers’ Certificate and Opinion of Counsel, in each case stating that such consolidation, merger or transfer and such supplemental indenture complies with this Section 8.01 and that all conditions precedent provided for herein relating to such transaction have been complied with;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limitations shall not apply if, in the good faith determination of the Board of Directors, whose determination shall be evidenced by a board resolution certified to the Trustee, the principal purpose of such transaction is to change the state of incorporation of the Issuer;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any such transaction shall not have as one of its purposes the evasion of the foregoing limitations.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caps w:val="false"/>
          <w:smallCaps w:val="false"/>
          <w:sz w:val="20"/>
        </w:rPr>
        <w:t>Successor Corporation Substituted</w:t>
      </w:r>
      <w:r>
        <w:rPr>
          <w:rFonts w:ascii="Times New Roman;Times;Serif" w:hAnsi="Times New Roman;Times;Serif"/>
          <w:b w:val="false"/>
          <w:i w:val="false"/>
          <w:caps w:val="false"/>
          <w:smallCaps w:val="false"/>
          <w:sz w:val="20"/>
        </w:rPr>
        <w:t>. In case of any such consolidation, merger, sale, conveyance, transfer, lease or other disposition, and following such an assumption by the successor Person, such successor Person shall succeed to and be substituted for the Issuer, with the same effect as if it had been named herein. Such successor Person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Person instead of the Issuer and subject to all the terms, conditions and limitations in this Indenture prescribed, the Trustee, pursuant to the terms hereof, shall authenticate and shall deliver any Securities which previously shall have been signed and delivered by the officers of the Issuer to the Trustee for authentication, and any Securities which such successor Person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conveyance, transfer, lease or other disposition, such changes in phraseology and form (but not in substance) may be made in the Securities thereafter to be issued as may be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assumption by the successor Person in the manner described in this Article, the Issuer shall be discharged from all obligations and covenants under this Indenture and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DISCHARGE OF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caps w:val="false"/>
          <w:smallCaps w:val="false"/>
          <w:sz w:val="20"/>
        </w:rPr>
        <w:t>Defeasance Within One Year of Payment</w:t>
      </w:r>
      <w:r>
        <w:rPr>
          <w:rFonts w:ascii="Times New Roman;Times;Serif" w:hAnsi="Times New Roman;Times;Serif"/>
          <w:b w:val="false"/>
          <w:i w:val="false"/>
          <w:caps w:val="false"/>
          <w:smallCaps w:val="false"/>
          <w:sz w:val="20"/>
        </w:rPr>
        <w:t>. Except as otherwise provided in this Section 9.01, the Issuer may terminate its obligations under the Securities of any series and this Indenture with respect to Securities of such series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Securities of such series previously authenticated and delivered (other than destroyed, lost or wrongfully taken Securities of such series that have been replaced or Securities of such series for whose payment money or securities have theretofore been held in trust and thereafter repaid to the Issuer, as provided in Section 9.05) have been delivered to the Trustee for cancellation and the Issuer has paid all sums payable by it hereunder;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(xviii) (A) the Securities of such series mature within one year or all of them are to be called for redemption within one year under arrangements satisfactory to the Trustee for giving the notice of redemption, (B) the Issuer irrevocably deposits in trust with the Trustee, as trust funds solely for the benefit of the Holders of such Securities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Securities of such series to maturity or redemption, as the case may be, and to pay all other sums payable by it hereunder and (C) the Issuer delivers to the Trustee an Officers’ Certificate and an Opinion of Counsel, in each case stating that all conditions precedent provided for herein relating to the satisfaction and discharge of this Indenture with respect to the Securities of such series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foregoing clause (i), only the Issuer’s obligations under Sections 5.06 and 9.05 in respect of the Securities of such series shall survive. With respect to the foregoing clause (ii), only the Issuer’s obligations in Section 2.03 through 2.11, 3.02, 5.06, 5.09 and 9.05 in respect of the Securities of such series shall survive until such Securities of such series are no longer outstanding. Thereafter, only the Issuer’s obligations in Section 5.06 and 9.05 in respect of the Securities of such series shall survive. After any such irrevocable deposit, the Trustee shall acknowledge in writing the discharge of the Issuer’s obligations under the Securities of such series and this Indenture with respect to the Securities of such series except for those surviving obligations specified above.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caps w:val="false"/>
          <w:smallCaps w:val="false"/>
          <w:sz w:val="20"/>
        </w:rPr>
        <w:t>Defeasance</w:t>
      </w:r>
      <w:r>
        <w:rPr>
          <w:rFonts w:ascii="Times New Roman;Times;Serif" w:hAnsi="Times New Roman;Times;Serif"/>
          <w:b w:val="false"/>
          <w:i w:val="false"/>
          <w:caps w:val="false"/>
          <w:smallCaps w:val="false"/>
          <w:sz w:val="20"/>
        </w:rPr>
        <w:t>. Except as provided below, the Issuer will be deemed to have paid and will be discharged from any and all obligations in respect of the Securities of any series and the provisions of this Indenture will no longer be in effect with respect to the Securities of such series (and the Trustee, at the expense of the Issuer, shall execute instruments in form and substance satisfactory to the Issuer and the Trustee acknowledging the same) if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has irrevocably deposited in trust with the Trustee as trust funds specifically pledged as security for, and dedicated solely to, Holders of the Securities of such series, for payment of the Principal of and interest on the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outstanding Securities of such series to maturity or earlier redemption (irrevocably provided for under arrangements satisfactory to the Trustee),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deposit will not result in a breach or violation of, or constitute a default under, this Indenture or any other material agreement or instrument to which the Issuer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or Event of Default with respect to the Securities of such series shall have occurred and be continuing on the date of such deposit;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Issuer shall have delivered to the Trustee (1) either (x) a ruling directed to the Trustee received from the Internal Revenue Service to the effect that the Holders of the Securities of such series will not recognize income, gain or loss for Federal income tax purposes as a result of the Issuer’s exercise of its option under this Section 9.02 and will be subject to federal income tax on the same amount and in the same manner and at the same times as would have been the case if such deposit and defeasance had not occurred or (y) an Opinion of Counsel to the same effect as the ruling described in clause (x) above and based upon a change in law and (2) an Opinion of Counsel to the effect that the Holders of the Securities of such series have a valid security interest in the trust funds subject to no prior liens under the UCC;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 has delivered to the Trustee an Officers’ Certificate and an Opinion of Counsel, in each case stating that all conditions precedent provided for herein relating to the defeasance contemplated by this Section 9.02 of the Securities of such series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obligations in Section 2.03 through 2.11, 3.02, 5.06, 5.09 and 9.05 with respect to the Securities of such series shall survive until such Securities are no longer outstanding. Thereafter, only the Issuer’s obligations in Section 5.06 and 9.05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 The Issuer may omit to comply with any term, provision or condition set forth in Section 3.04, 3.06 or 3.08 (or any other specific covenant relating to the Securities of any series provided for in a Board Resolution or supplemental indenture pursuant to Section 2.03 which may by its terms be defeased pursuant to this Section 9.03), and such omission shall be deemed not to be an Event of Default under clause (c) of Section 4.01, with respect to the outstanding Securities of such series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has irrevocably deposited in trust with the Trustee as trust funds solely for the benefit of the Holders of the Securities of such series, for payment of the Principal of and interest, if any, on the Securities of such series, money or U.S. Government Obligations or a combination thereof in an amount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interest on the outstanding Securities of such series to maturity or earlier redemption (irrevocably provided for under arrangements satisfactory to the Trustee), as the case may be;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deposit will not result in a breach or violation of, or constitute a default under, this Indenture or any other material agreement or instrument to which the Issuer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or Event of Default with respect to the Securities of such series shall have occurred and be continuing on the date of such deposit;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Issuer has delivered to the Trustee an Opinion of Counsel to the effect that (A) the Holders of the Securities of such series have a valid security interest in the trust funds subject to no prior liens under the UCC and (B) such Holders will not recognize income, gain or loss for Federal income tax purposes as a result of such deposit and covenant defeasance and will be subject to federal income tax on the same amount and in the same manner and at the same times as would have been the case if such deposit and defeasance had not occurred;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 has delivered to the Trustee an Officers’ Certificate and an Opinion of Counsel, in each case stating that all conditions precedent provided for herein relating to the covenant defeasance contemplated by this Section 9.03 of the Securities of such series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caps w:val="false"/>
          <w:smallCaps w:val="false"/>
          <w:sz w:val="20"/>
        </w:rPr>
        <w:t>Application of Trust Money</w:t>
      </w:r>
      <w:r>
        <w:rPr>
          <w:rFonts w:ascii="Times New Roman;Times;Serif" w:hAnsi="Times New Roman;Times;Serif"/>
          <w:b w:val="false"/>
          <w:i w:val="false"/>
          <w:caps w:val="false"/>
          <w:smallCaps w:val="false"/>
          <w:sz w:val="20"/>
        </w:rPr>
        <w:t>. Subject to Section 9.05, the Trustee or Paying Agent shall hold in trust money or U.S. Government Obligations deposited with it pursuant to 9.01, 9.02, or 9.03, as the case may be, in respect of the Securities of any series and shall apply the deposited money and the proceeds from deposited U.S. Government Obligations in accordance with the Securities of such series and this Indenture to the payment of Principal of and interest on the Securities of such series; provided that such money need not be segregated from other funds except to the extent required by law. The Issuer shall pay and indemnify the Trustee against any tax, fee or other charge imposed on or assessed against the U.S. Government Obligations deposited pursuant to 9.01, 9.02, or 9.03, as the case may be, or the Principal and interest received in respect thereof, other than any such tax, fee or other charge that by law is for the account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caps w:val="false"/>
          <w:smallCaps w:val="false"/>
          <w:sz w:val="20"/>
        </w:rPr>
        <w:t>Repayment to Issuer</w:t>
      </w:r>
      <w:r>
        <w:rPr>
          <w:rFonts w:ascii="Times New Roman;Times;Serif" w:hAnsi="Times New Roman;Times;Serif"/>
          <w:b w:val="false"/>
          <w:i w:val="false"/>
          <w:caps w:val="false"/>
          <w:smallCaps w:val="false"/>
          <w:sz w:val="20"/>
        </w:rPr>
        <w:t xml:space="preserve">. Subject to Section 5.06, 9.01, the Trustee and the Paying Agent shall promptly pay to the Issuer upon request set forth in an Officers’ Certificate any money held by them at any time and not required to make payments hereunder and thereupon shall be relieved from all liability with respect to such money. Subject to applicable escheat or abandoned property laws, the Trustee and the Paying Agent shall pay to the Issuer upon written request any money held by them and required to make payments hereunder under this Indenture that remains unclaimed for two years;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Trustee or such Paying Agent before being required to make any payment shall cause to be published at the expense of the Issuer once in an Authorized Newspaper or mail to each Holder entitled to such money at such Holder’s address (as set forth in the register) notice that such money remains unclaimed and that after a date specified therein (which shall be at least 30 days from the date of such publication or mailing) any unclaimed balance of such money then remaining will be repaid to the Issuer. After payment to the Issuer, Holders entitled to such money must look to the Issuer for payment as general creditors unless an abandoned property law designates another Person, and all liability of the Trustee and such Paying Agent with respect to such money shall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caps w:val="false"/>
          <w:smallCaps w:val="false"/>
          <w:sz w:val="20"/>
        </w:rPr>
        <w:t>Incorporators, Stockholders, Officers and Directors Exempt from Individual Liability</w:t>
      </w:r>
      <w:r>
        <w:rPr>
          <w:rFonts w:ascii="Times New Roman;Times;Serif" w:hAnsi="Times New Roman;Times;Serif"/>
          <w:b w:val="false"/>
          <w:i w:val="false"/>
          <w:caps w:val="false"/>
          <w:smallCaps w:val="false"/>
          <w:sz w:val="20"/>
        </w:rPr>
        <w:t>. No recourse under or upon any obligation, covenant or agreement contained in this Indenture or in any Security, or because of any indebtedness evidenced thereby, shall be had against any incorporator, as such, or against any past, present or future stockholder, officer, director or employee, as such, of the Issuer or of any successor Person thereof, either directly or through the Issuer or any successor Person thereof,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caps w:val="false"/>
          <w:smallCaps w:val="false"/>
          <w:sz w:val="20"/>
        </w:rPr>
        <w:t>Provisions of Indenture for the Sole Benefit of Parties and Securityholders</w:t>
      </w:r>
      <w:r>
        <w:rPr>
          <w:rFonts w:ascii="Times New Roman;Times;Serif" w:hAnsi="Times New Roman;Times;Serif"/>
          <w:b w:val="false"/>
          <w:i w:val="false"/>
          <w:caps w:val="false"/>
          <w:smallCaps w:val="false"/>
          <w:sz w:val="20"/>
        </w:rPr>
        <w:t>.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caps w:val="false"/>
          <w:smallCaps w:val="false"/>
          <w:sz w:val="20"/>
        </w:rPr>
        <w:t>Successors and Assigns of Issuer Bound by Indenture</w:t>
      </w:r>
      <w:r>
        <w:rPr>
          <w:rFonts w:ascii="Times New Roman;Times;Serif" w:hAnsi="Times New Roman;Times;Serif"/>
          <w:b w:val="false"/>
          <w:i w:val="false"/>
          <w:caps w:val="false"/>
          <w:smallCaps w:val="false"/>
          <w:sz w:val="20"/>
        </w:rPr>
        <w:t>. All the covenants, stipulations, promises and agreements contained in this Indenture by or on behalf of the Issuer shall bind its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caps w:val="false"/>
          <w:smallCaps w:val="false"/>
          <w:sz w:val="20"/>
        </w:rPr>
        <w:t>Notices and Demands on Issuer, Trustee and Securityholders</w:t>
      </w:r>
      <w:r>
        <w:rPr>
          <w:rFonts w:ascii="Times New Roman;Times;Serif" w:hAnsi="Times New Roman;Times;Serif"/>
          <w:b w:val="false"/>
          <w:i w:val="false"/>
          <w:caps w:val="false"/>
          <w:smallCaps w:val="false"/>
          <w:sz w:val="20"/>
        </w:rPr>
        <w:t>.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Aptera Motors Corp. at 5818 El Camino Real, Carlsbad, California 92008, Attention: Chief Financial Officer. Any notice, direction, request or demand by the Issuer or any Securityholder to or upon the Trustee shall be deemed to have been sufficiently given or made, for all purposes, if given or made at the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to Holders, such notice shall be sufficiently given (unless otherwise herein expressly provided) if in writing and mailed, first-class postage prepaid, to each Holder entitled thereto, at such Holder’s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10.05 </w:t>
      </w:r>
      <w:r>
        <w:rPr>
          <w:rFonts w:ascii="Times New Roman;Times;Serif" w:hAnsi="Times New Roman;Times;Serif"/>
          <w:b w:val="false"/>
          <w:i/>
          <w:caps w:val="false"/>
          <w:smallCaps w:val="false"/>
          <w:sz w:val="20"/>
        </w:rPr>
        <w:t>Officers’ Certificates and Opinions of Counsel; Statements to be Contained Therein</w:t>
      </w:r>
      <w:r>
        <w:rPr>
          <w:rFonts w:ascii="Times New Roman;Times;Serif" w:hAnsi="Times New Roman;Times;Serif"/>
          <w:b w:val="false"/>
          <w:i w:val="false"/>
          <w:caps w:val="false"/>
          <w:smallCaps w:val="false"/>
          <w:sz w:val="20"/>
        </w:rPr>
        <w:t>.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any independent firm of public accountants filed with the Trustee shall contain a statement that such firm is independent.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10.06 </w:t>
      </w:r>
      <w:r>
        <w:rPr>
          <w:rFonts w:ascii="Times New Roman;Times;Serif" w:hAnsi="Times New Roman;Times;Serif"/>
          <w:b w:val="false"/>
          <w:i/>
          <w:caps w:val="false"/>
          <w:smallCaps w:val="false"/>
          <w:sz w:val="20"/>
        </w:rPr>
        <w:t>Payments Due on Saturdays, Sundays and Holidays</w:t>
      </w:r>
      <w:r>
        <w:rPr>
          <w:rFonts w:ascii="Times New Roman;Times;Serif" w:hAnsi="Times New Roman;Times;Serif"/>
          <w:b w:val="false"/>
          <w:i w:val="false"/>
          <w:caps w:val="false"/>
          <w:smallCaps w:val="false"/>
          <w:sz w:val="20"/>
        </w:rPr>
        <w:t>.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10.07 </w:t>
      </w:r>
      <w:r>
        <w:rPr>
          <w:rFonts w:ascii="Times New Roman;Times;Serif" w:hAnsi="Times New Roman;Times;Serif"/>
          <w:b w:val="false"/>
          <w:i/>
          <w:caps w:val="false"/>
          <w:smallCaps w:val="false"/>
          <w:sz w:val="20"/>
        </w:rPr>
        <w:t>Conflict of Any Provision of Indenture with Trust Indenture Act of 1939</w:t>
      </w:r>
      <w:r>
        <w:rPr>
          <w:rFonts w:ascii="Times New Roman;Times;Serif" w:hAnsi="Times New Roman;Times;Serif"/>
          <w:b w:val="false"/>
          <w:i w:val="false"/>
          <w:caps w:val="false"/>
          <w:smallCaps w:val="false"/>
          <w:sz w:val="20"/>
        </w:rPr>
        <w:t>. If and to the extent that any provision of this Indenture limits, qualifies or conflicts with another provision incorporated in this Indenture by operation of Sections 310 to 317, inclusive, of the Trust Indenture Act of 1939, such incorporated provision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10.08 </w:t>
      </w:r>
      <w:r>
        <w:rPr>
          <w:rFonts w:ascii="Times New Roman;Times;Serif" w:hAnsi="Times New Roman;Times;Serif"/>
          <w:b w:val="false"/>
          <w:i/>
          <w:caps w:val="false"/>
          <w:smallCaps w:val="false"/>
          <w:sz w:val="20"/>
        </w:rPr>
        <w:t>New York Law to Govern</w:t>
      </w:r>
      <w:r>
        <w:rPr>
          <w:rFonts w:ascii="Times New Roman;Times;Serif" w:hAnsi="Times New Roman;Times;Serif"/>
          <w:b w:val="false"/>
          <w:i w:val="false"/>
          <w:caps w:val="false"/>
          <w:smallCaps w:val="false"/>
          <w:sz w:val="20"/>
        </w:rPr>
        <w:t>. This Indenture and each Security shall be deemed to be a contract under the laws of the State of New York, and for all purposes shall be construed in accordance with the laws of such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10.09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Indenture may be executed in any number of counterparts, each of which shall be an original; but such counterparts shall together constitute but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caps w:val="false"/>
          <w:smallCaps w:val="false"/>
          <w:sz w:val="20"/>
        </w:rPr>
        <w:t>Effect of Headings</w:t>
      </w:r>
      <w:r>
        <w:rPr>
          <w:rFonts w:ascii="Times New Roman;Times;Serif" w:hAnsi="Times New Roman;Times;Serif"/>
          <w:b w:val="false"/>
          <w:i w:val="false"/>
          <w:caps w:val="false"/>
          <w:smallCaps w:val="false"/>
          <w:sz w:val="20"/>
        </w:rPr>
        <w:t>. The Article and Section headings herein and the Table of Contents are for convenience only and shall not affect the construction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REDEMPTION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caps w:val="false"/>
          <w:smallCaps w:val="false"/>
          <w:sz w:val="20"/>
        </w:rPr>
        <w:t>Applicability of Article</w:t>
      </w:r>
      <w:r>
        <w:rPr>
          <w:rFonts w:ascii="Times New Roman;Times;Serif" w:hAnsi="Times New Roman;Times;Serif"/>
          <w:b w:val="false"/>
          <w:i w:val="false"/>
          <w:caps w:val="false"/>
          <w:smallCaps w:val="false"/>
          <w:sz w:val="20"/>
        </w:rPr>
        <w:t>. The provisions of this Article shall be applicable to the Securities of any series which are redeemable before their maturity except as otherwise specified as contemplated by Section 2.03 for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caps w:val="false"/>
          <w:smallCaps w:val="false"/>
          <w:sz w:val="20"/>
        </w:rPr>
        <w:t>Notice of Redemption; Partial Redemptions</w:t>
      </w:r>
      <w:r>
        <w:rPr>
          <w:rFonts w:ascii="Times New Roman;Times;Serif" w:hAnsi="Times New Roman;Times;Serif"/>
          <w:b w:val="false"/>
          <w:i w:val="false"/>
          <w:caps w:val="false"/>
          <w:smallCaps w:val="false"/>
          <w:sz w:val="20"/>
        </w:rPr>
        <w:t>.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to each such Holder shall specify the CUSIP numbers of such Securities to be redeemed, the Principal amount of each Security of such series held by such Holder to be redeemed, the date fixed for redemption, the redemption price, the place or places of payment, that payment will be made upon presentation and surrender of such Securities,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the method the Trustee shall use to determine such Securities to be redeemed as specified in the last paragraph of this Section 11.02, if applicable, and shall state that on and after the date fixed for redemption, upon surrender of such Security, a new Security or Securities of such series in Principal amount equal to the unredeemed portion thereof will be issued.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of Securities of any series to be redeemed at the option of the Issuer shall be given by the Issuer or, at the Issuer’s written request, by the Trustee in the name and at the expense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11:00 a.m. (New York City time) on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3.03) an amount of money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(unless a shorter period shall be satisfactory to the Trustee) prior to the date fixed for redemption an Officers’ Certificate stating the aggregate Principal amount of Securities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redemption of all of the Securities of a series outstanding, the Issuer shall notify the Trustee in writing of the redemption date 45 days (unless a shorter period shall be satisfactory to the Trustee) prior to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 series are to be redeemed, the Trustee shall select, pro rata or by lot or in such manner as it shall deem appropriate and fair, Securities of such series to be redeemed in whole or in part. Securities of a series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caps w:val="false"/>
          <w:smallCaps w:val="false"/>
          <w:sz w:val="20"/>
        </w:rPr>
        <w:t>Payment of Securities Called for Redemption</w:t>
      </w:r>
      <w:r>
        <w:rPr>
          <w:rFonts w:ascii="Times New Roman;Times;Serif" w:hAnsi="Times New Roman;Times;Serif"/>
          <w:b w:val="false"/>
          <w:i w:val="false"/>
          <w:caps w:val="false"/>
          <w:smallCaps w:val="false"/>
          <w:sz w:val="20"/>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 5.05 and 9.04,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the date fixed for redemption shall be payable to the Holders of such Securities registered as such on the relevant record date subject to the terms and provisions of Section 2.07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 pursuant to Section 2.04, 2.05 and 2.06.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caps w:val="false"/>
          <w:smallCaps w:val="false"/>
          <w:sz w:val="20"/>
        </w:rPr>
        <w:t>Exclusion of Certain Securities from Eligibility for Selection for Redemption</w:t>
      </w:r>
      <w:r>
        <w:rPr>
          <w:rFonts w:ascii="Times New Roman;Times;Serif" w:hAnsi="Times New Roman;Times;Serif"/>
          <w:b w:val="false"/>
          <w:i w:val="false"/>
          <w:caps w:val="false"/>
          <w:smallCaps w:val="false"/>
          <w:sz w:val="20"/>
        </w:rPr>
        <w:t>.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directly or indirectly controlling or controlled by or under direct or indirect common control with the Issuer.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11.05 </w:t>
      </w:r>
      <w:r>
        <w:rPr>
          <w:rFonts w:ascii="Times New Roman;Times;Serif" w:hAnsi="Times New Roman;Times;Serif"/>
          <w:b w:val="false"/>
          <w:i/>
          <w:caps w:val="false"/>
          <w:smallCaps w:val="false"/>
          <w:sz w:val="20"/>
        </w:rPr>
        <w:t>Conversion Arrangement On Call For Redemption</w:t>
      </w:r>
      <w:r>
        <w:rPr>
          <w:rFonts w:ascii="Times New Roman;Times;Serif" w:hAnsi="Times New Roman;Times;Serif"/>
          <w:b w:val="false"/>
          <w:i w:val="false"/>
          <w:caps w:val="false"/>
          <w:smallCaps w:val="false"/>
          <w:sz w:val="20"/>
        </w:rPr>
        <w:t>. In connection with any redemption of Securities, the Issuer shall deposit the amount due in connection with such redemption as required by Section 11.02 or it may arrange for the purchase and conversion of any Securities called for redemption by an agreement with one or more investment bankers or other purchasers to purchase such Securities and to make the deposit required of it by Section 11.02 on its behalf by paying to the Trustee or the Paying Agent in trust for the Securityholders, on or before 10:00 a.m. New York time on the redemption date, an amount no less than the redemption price, together with interest, if any, accrued to the redemption date of such Securities, in immediately available funds. Notwithstanding anytime to the contrary contained in this Article 11, the obligation of the Issuer to pay the redemption price of such Securities, including all accrued interest, if any, shall be deemed to be satisfied and discharged to the extent such amount is so paid by such purchasers. If such an agreement is entered into, any Securities not duly surrendered for conversion by the Holders thereof may, at the option of the Issuer, be deemed, to the fullest extent permitted by law, acquired by such purchasers from such Holders and (notwithstanding anything to the contrary contained in Article 12) surrendered by such purchasers for conversion, all as of immediately prior to the close of business on the last day on which Securities of such series called for redemption may be converted in accordance with this Indenture and the terms of such Securities, subject to payment of the above amount aforesaid. The Trustee or the Paying Agent shall hold and pay to the Securityholders whose Securities are selected for redemption any such amount paid to it in the same manner as it would monies deposited with it by the Issuer for the redemption of Securities. Without the Trustee’s and the Paying Agent’s prior written consent, no arrangement between the Issuer and such purchasers for the purchase and conversion of any Securities shall increase or otherwise affect any of the powers, duties, responsibilities or obligations of the Trustee as set forth in this Indenture, and the Issuer agrees to indemnify the Trustee from, and hold it harmless against, any loss, liability or expense arising out of or in connection with any such arrangement for the purchase and conversion of any Securities between the Issuer and such purchasers, including the costs and expenses incurred by the Trustee and the Paying Agent in the defense of any claim or liability arising out of or in connection with the exercise or performance of any of its powers, duties, responsibilities or obligations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CONVERSION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caps w:val="false"/>
          <w:smallCaps w:val="false"/>
          <w:sz w:val="20"/>
        </w:rPr>
        <w:t>Applicability of Article</w:t>
      </w:r>
      <w:r>
        <w:rPr>
          <w:rFonts w:ascii="Times New Roman;Times;Serif" w:hAnsi="Times New Roman;Times;Serif"/>
          <w:b w:val="false"/>
          <w:i w:val="false"/>
          <w:caps w:val="false"/>
          <w:smallCaps w:val="false"/>
          <w:sz w:val="20"/>
        </w:rPr>
        <w:t>. Securities of any series which are convertible into Capital Stock at the option of the Securityholder shall be convertible in accordance with their terms and (unless otherwise specified as contemplated by Section 2.03 for Securities of any series) in accordance with this Article. Each reference in this Article 12 to “a Security” or “the Securities” refers to the Securities of the particular series that is convertible into Capital Stock. Each reference in this Article to “Capital Stock” into which Securities of any series are convertible refers to the class of Capital Stock into which the Securities of such series are convertible in accordance with their terms (as specified as contemplated by Section 2.03). If more than one series of Securities with conversion privileges are outstanding at any time, the provisions of this Article 12 shall be applied separately to each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12.02 </w:t>
      </w:r>
      <w:r>
        <w:rPr>
          <w:rFonts w:ascii="Times New Roman;Times;Serif" w:hAnsi="Times New Roman;Times;Serif"/>
          <w:b w:val="false"/>
          <w:i/>
          <w:caps w:val="false"/>
          <w:smallCaps w:val="false"/>
          <w:sz w:val="20"/>
        </w:rPr>
        <w:t>Right of Securityholders to Convert Securities</w:t>
      </w:r>
      <w:r>
        <w:rPr>
          <w:rFonts w:ascii="Times New Roman;Times;Serif" w:hAnsi="Times New Roman;Times;Serif"/>
          <w:b w:val="false"/>
          <w:i w:val="false"/>
          <w:caps w:val="false"/>
          <w:smallCaps w:val="false"/>
          <w:sz w:val="20"/>
        </w:rPr>
        <w:t>. Subject to and upon compliance with the terms of the Securities and the provisions of Section 11.05 and this Article 12, at the option of the Holder thereof, any Security of any series of any authorized denomination, or any portion of the Principal amount thereof which is $1,000 or any integral multiple of $1,000, may, at any time during the period specified in the Securities of such series, or in case such Security or portion thereof shall have been called for redemption, then in respect of such Security or portion thereof until and including, but not after (unless the Issuer shall default in payment due upon the redemption thereof) the close of business on the Business Day prior to the date fixed for redemption except that in the case of redemption at the option of the Securityholder, if specified in the terms of such Securities, such right shall terminate upon receipt of written notice of the exercise of such option, be converted into duly authorized, validly issued, fully paid and nonassessable shares of Capital Stock, as specified in such Security, at the conversion rate for each $1,000 Principal amount of Securities (such initial conversion rate reflecting an initial conversion price specified in such Security) in effect on the conversion date, or, in case an adjustment in the conversion rate has taken place pursuant to the provisions of Section 12.05, then at the applicable conversion rate as so adjusted, upon surrender of the Security or Securities, the Principal amount of which is so to be converted, to the Issuer at any time during usual business hours at the office or agency to be maintained by it in accordance with the provisions of Section 3.02, accompanied by a written notice of election to convert as provided in Section 12.03 and, if so required by the Issuer and the Trustee, by a written instrument or instruments of transfer in form satisfactory to the Issuer and the Trustee duly executed by the registered Holder or his attorney duly authorized in writing. All Securities surrendered for conversion shall, if surrendered to the Issuer or any conversion agent, be delivered to the Trustee for cancellation and cancelled by it, or shall, if surrendered to the Trustee, be cancelled by it, as provided in Section 2.10.</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conversion price or conversion rate in respect of a series of Securities shall be as specified in the Securities of such series. The conversion price or conversion rate will be subject to adjustment on the terms set forth in Section 12.05 or such other or different terms, if any, as may be specified by Section 2.03 for Securities of such series. Provisions of this Indenture that apply to conversion of all of a Security also apply to conversion of a portion of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12.03 </w:t>
      </w:r>
      <w:r>
        <w:rPr>
          <w:rFonts w:ascii="Times New Roman;Times;Serif" w:hAnsi="Times New Roman;Times;Serif"/>
          <w:b w:val="false"/>
          <w:i/>
          <w:caps w:val="false"/>
          <w:smallCaps w:val="false"/>
          <w:sz w:val="20"/>
        </w:rPr>
        <w:t>Issuance of Shares of Capital Stock on Conversion</w:t>
      </w:r>
      <w:r>
        <w:rPr>
          <w:rFonts w:ascii="Times New Roman;Times;Serif" w:hAnsi="Times New Roman;Times;Serif"/>
          <w:b w:val="false"/>
          <w:i w:val="false"/>
          <w:caps w:val="false"/>
          <w:smallCaps w:val="false"/>
          <w:sz w:val="20"/>
        </w:rPr>
        <w:t>. As promptly as practicable after the surrender, as herein provided, of any Security or Securities for conversion, the Issuer shall deliver or cause to be delivered at its said office or agency to or upon the written order of the Holder of the Security or Securities so surrendered a certificate or certificates representing the number of duly authorized, validly issued, fully paid and nonassessable shares of Capital Stock into which such Security or Securities may be converted in accordance with the terms thereof and the provisions of this Article 12. Prior to delivery of such certificate or certificates, the Issuer shall require a written notice at its said office or agency from the Holder of the Security or Securities so surrendered stating that the Holder irrevocably elects to convert such Security or Securities, or, if less than the entire Principal amount thereof is to be converted, stating the portion thereof to be converted. Such notice shall also state the name or names (with address and social security or other taxpayer identification number) in which said certificate or certificates are to be issued. Such conversion shall be deemed to have been made at the time that such Security or Securities shall have been surrendered for conversion and such notice shall have been received by the Issuer or the Trustee, the rights of the Holder of such Security or Securities as a Securityholder shall cease at such time, the person or persons entitled to receive the shares of Capital Stock upon conversion of such Security or Securities shall be treated for all purposes as having become the record holder or holders of such shares of Capital Stock at such time and such conversion shall be at the conversion rate in effect at such time. In the case of any Security of any series which is converted in part only, upon such conversion, the Issuer shall execute and the Trustee shall authenticate and deliver to the Holder thereof, as requested by such Holder, a new Security or Securities of such series of authorized denominations in aggregate Principal amount equal to the unconverted portion of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last day on which a Security may be converted is not a Business Day in a place where a conversion agent is located, the Security may be surrendered to that conversion agent on the next succeeding day that is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not be required to deliver certificates for shares of Capital Stock upon conversion while its stock transfer books are closed for a meeting of shareholders or for the payment of dividends or for any other purpose, but certificates for shares of Capital Stock shall be delivered as soon as the stock transfer books shall again be opened.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12.04 </w:t>
      </w:r>
      <w:r>
        <w:rPr>
          <w:rFonts w:ascii="Times New Roman;Times;Serif" w:hAnsi="Times New Roman;Times;Serif"/>
          <w:b w:val="false"/>
          <w:i/>
          <w:caps w:val="false"/>
          <w:smallCaps w:val="false"/>
          <w:sz w:val="20"/>
        </w:rPr>
        <w:t>No Payment or Adjustment for Interest or Dividends</w:t>
      </w:r>
      <w:r>
        <w:rPr>
          <w:rFonts w:ascii="Times New Roman;Times;Serif" w:hAnsi="Times New Roman;Times;Serif"/>
          <w:b w:val="false"/>
          <w:i w:val="false"/>
          <w:caps w:val="false"/>
          <w:smallCaps w:val="false"/>
          <w:sz w:val="20"/>
        </w:rPr>
        <w:t>. Unless otherwise specified as contemplated by Section 2.03 for Securities of such series, Securities surrendered for conversion during the period from the close of business on any regular record date (or special record date for payment of defaulted interest) next preceding any interest payment date to the opening of business on such interest payment date (except Securities called for redemption on a redemption date within such period) when surrendered for conversion must be accompanied by payment of an amount equal to the interest thereon which the registered Holder is to receive on such interest payment date. Payment of interest shall be made, as of such interest payment date or such date, as the case may be, to the Holder of record of the Securities as of such regular, or special record date, as applicable. Except where Securities surrendered for conversion must be accompanied by payment as described above, no interest on converted Securities will be payable by the Issuer on any interest payment date subsequent to the date of conversion. No other payment or adjustment for interest or dividends is to be made upon conversion. Notwithstanding the foregoing, upon conversion of any Original Issue Discount Security, the fixed number of shares of Capital Stock into which such Security is convertible delivered by the Issuer to the Holder thereof shall be applied, first, to pay the accrued original issue discount attributable to the period from the date of issuance to the date of conversion of such Security, and, second, to pay the balance of the Principal amount of such Security.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12.05 </w:t>
      </w:r>
      <w:r>
        <w:rPr>
          <w:rFonts w:ascii="Times New Roman;Times;Serif" w:hAnsi="Times New Roman;Times;Serif"/>
          <w:b w:val="false"/>
          <w:i/>
          <w:caps w:val="false"/>
          <w:smallCaps w:val="false"/>
          <w:sz w:val="20"/>
        </w:rPr>
        <w:t>Adjustment of Conversion Rate</w:t>
      </w:r>
      <w:r>
        <w:rPr>
          <w:rFonts w:ascii="Times New Roman;Times;Serif" w:hAnsi="Times New Roman;Times;Serif"/>
          <w:b w:val="false"/>
          <w:i w:val="false"/>
          <w:caps w:val="false"/>
          <w:smallCaps w:val="false"/>
          <w:sz w:val="20"/>
        </w:rPr>
        <w:t>. Unless otherwise specified as contemplated by Section 2.03 for Securities of such series, the conversion rate for Securities in effect at any time shall be subject to adjustment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the Issuer shall (i) declare a dividend or make a distribution on the class of Capital Stock into which Securities of such series are convertible in shares of its Capital Stock, (ii) subdivide the outstanding shares of the class of Capital Stock into which Securities of such series are convertible into a greater number of shares, (iii) combine the outstanding shares of the class of Capital Stock into which Securities of such series are convertible into a smaller number of shares or (iv) issue by reclassification of the shares of the class of Capital Stock into which Securities of such series are convertible (including any such reclassification in connection with a consolidation or merger in which the Issuer is the continuing corporation) any shares, the conversion rate for the Securities of such series in effect at the time of the record subdivision, combination or reclassification, shall be proportionately adjusted so that the Holder of any Security of such series surrendered for conversion after such time shall be entitled to receive the number and kind of shares which he would have owned or have been entitled to receive had such Security been converted immediately prior to such time. Similar adjustments shall be made whenever any event listed above shall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the Issuer shall fix a record date for the issuance of rights or warrants to all holders of the class of Capital Stock into which Securities of such series are convertible entitling them (for a period expiring within 45 days after such record date) to subscribe for or purchase shares of such class of Capital Stock (or securities convertible into shares of such class of Capital Stock) at a price per share (or, in the case of a right or warrant to purchase securities convertible into such class of Capital Stock, having a conversion price per share, after adding thereto the exercise price, computed on the basis of the maximum number of shares of such class of Capital Stock issuable upon conversion of such convertible securities, per share of such class of Capital Stock, so issuable) less than the current market price per share of such class of Capital Stock (as defined in subsection (e) below) on the date on which such issuance was declared or otherwise announced by the Issuer (the “</w:t>
      </w:r>
      <w:r>
        <w:rPr>
          <w:rFonts w:ascii="Times New Roman;Times;Serif" w:hAnsi="Times New Roman;Times;Serif"/>
          <w:b/>
          <w:i w:val="false"/>
          <w:caps w:val="false"/>
          <w:smallCaps w:val="false"/>
          <w:sz w:val="20"/>
        </w:rPr>
        <w:t>Determination Date</w:t>
      </w:r>
      <w:r>
        <w:rPr>
          <w:rFonts w:ascii="Times New Roman;Times;Serif" w:hAnsi="Times New Roman;Times;Serif"/>
          <w:b w:val="false"/>
          <w:i w:val="false"/>
          <w:caps w:val="false"/>
          <w:smallCaps w:val="false"/>
          <w:sz w:val="20"/>
        </w:rPr>
        <w:t>”), the number of shares of such class of Capital Stock into which each $1,000 Principal amount of Securities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number of shares of such class of Capital Stock outstanding on the Determination Date plus the number of additional shares of such class of Capital Stock offered for subscription or purchase (or in the case of a right or warrant to purchase securities convertible into such class of Capital Stock, the aggregate number of additional shares of such class of Capital Stock into which the convertible securities so offered are initially convertible), and of which the denominator shall be the number of shares of such class of Capital Stock outstanding on the Determination Date plus the number of shares of such class of Capital Stock obtained by dividing the aggregate offering price of the total number of shares so offered (or, in the case of a right or warrant to purchase securities convertible into such class of Capital Stock, the aggregate initial conversion price of the convertible securities so offered, after adding thereto the aggregate exercise price of such rights or warrants computed on the basis of the maximum number of shares of such class of Capital Stock issuable upon conversion of such convertible securities) by such current market price. Shares of such class of Capital Stock of the Issuer owned by or held for the account of the Issuer shall not be deemed outstanding for the purpose of any such computation. Such adjustment shall be made successively whenever such a record date is fixed; and to the extent that shares of such class of Capital Stock are not delivered (or securities convertible into shares of such class of Capital Stock are not delivered) after the expiration of such rights or warrants (or, in the case of rights or warrants to purchase securities convertible into such class of Capital Stock once exercised, the expiration of the conversion right of such securities) the conversion rate shall be readjusted to the conversion rate which would then be in effect had the adjustments made upon the issuance of such rights or warrants (or securities convertible into shares) been made upon the basis of delivery of only the number of shares actually delivered. In the event that such rights or warrants are not so issued, the conversion rate shall again be adjusted to be the conversion rate which would then be in effect if such record date had not been fixed.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case the Issuer shall fix a record date for the making of a distribution to all holders of the class of Capital Stock into which Securities of such series are convertible (including any such distribution made in connection with a consolidation or merger in which the Issuer is the continuing corporation) of evidences of its indebtedness or assets (excluding any cash dividends paid from retained earnings and dividends payable in Capital Stock for which adjustment is made pursuant to subsection (a) above or (d) below) or subscription rights or warrants (excluding subscription rights or warrants to purchase the class of Capital Stock into which Securities of such series are convertible), the number of shares of such class of Capital Stock into which each $1,000 Principal amount of Securities of such series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fair market value of the assets of the Issuer, after deducting therefrom all liabilities of the Issuer and all preferences (including accrued but unpaid dividends) in respect of classes of Capital Stock having a preference with respect to the assets of the Issuer over such class of Capital Stock (all as determined by the Board of Directors, whose determination shall be conclusive, and described in a certificate signed by chairman of the Issuer’s Board of Directors, its president, any vice president, its treasurer, any assistant treasurer, its secretary or any assistant secretary, filed with the Trustee and each conversion agent) on such record date, and of which the denominator shall be such fair market value after deducting therefrom such liabilities and preferences, less the fair market value (as determined by the Board of Directors, whose determination shall be conclusive, and described in a statement filed with the Trustee and each conversion agent) of the assets or evidences of indebtedness, so distributed or of such subscription rights or warrants applicable, so distributed. Such adjustment shall be made successively whenever such a record date is fixed; and in the event that such distribution is not so made, the conversion rate shall again be adjusted to the conversion rate which would then be in effect if such record date had not been fixed.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the Issuer shall, by dividend or otherwise, distribute to all holders of its Capital Stock cash (excluding any dividend or distribution in connection with the liquidation, dissolution or winding up of the Issuer, whether voluntary or involuntary), then, in such case, unless the Issuer elects to reserve such cash for distribution to the Holders of the Securities upon the conversion of the Securities so that any such Holder converting Securities will receive upon such conversion, in addition to the shares of Capital Stock to which such Holder is entitled, the amount of cash which such Holder would have received if such Holder had, immediately prior to the record date for such distribution of cash, converted its Securities into Capital Stock, the conversion rate shall be adjusted so that the same shall equal the rate determined by multiplying the conversion rate in effect immediately prior to the record date by a fraction of which the denominator shall be the current market price of the Capital Stock (determined as provided in Section 12.05(e) on the record date less the amount of cash so distributed (and not excluded as provided above) applicable to one share of Capital Stock and the numerator shall be such current market price of the Capital Stock (determined as provided in Section 12.05(e)), such adjustment to be effective immediately prior to the opening of business on the day following the record date; provided, however, that in the event the portion of the cash so distributed applicable to one share of Capital Stock is equal to or greater than the current market price of the Capital Stock (determined as provided in Section 12.05(e)) on the record date, in lieu of the foregoing adjustment, adequate provision shall be made so that each Securityholder shall have the right to receive upon conversion the amount of cash such Holder would have received had such Holder converted each Security on the record date. If such dividend or distribution is not so paid or made, the conversion rate shall again be adjusted to be the conversion rate which would then be in effect if such dividend or distribution had not been declared.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purpose of any computation under subsections (b) and (d) above and Section 12.06, the current market price per share of the Capital Stock on any date as of which such price is to be computed shall mean the average of the Closing Prices for the 30 consecutive Business Days commencing 45 Business Days before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 adjustment in the conversion rate shall be required unless such adjustment would require a cumulative increase or decrease of at least 1% in such rate;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adjustments which by reason of this subsection (f) are not required to be made shall be carried forward and taken into account in any subsequent adjustment;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adjustments shall be required and made in accordance with the provisions of this Article 12 (other than this subsection (f)) not later than such time as may be required in order to preserve the tax-free nature of a States income tax purposes to the Holders of Securities or the class of Capital Stock into which such Securities are convertible. All calculations under this Article 12 shall be made to the nearest cent or to the nearest one-thousandth of a share, as the case may be. Anything in this Section 12.05 to the contrary notwithstanding, the Issuer shall be entitled to make such adjustments in the conversion rate, in addition to those required by this Section 12.05, as it in its discretion shall determine to be advisable in order that any stock dividend, subdivision of shares, distribution of rights to purchase stock or securities, or distribution of securities convertible into or exchangeable for stock hereafter made by the Issuer to its shareholders shall not be taxable for United States income tax purposes.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Whenever the conversion rate is adjusted, as herein provided, the Issuer shall promptly file with the Trustee and with the office or agency maintained by the Issuer for the conversion of Securities of such series pursuant to Section 3.02, a certificate of a firm of independent public accountants of recognized national standing selected by the Board of Directors (who may be the regular accountants employed by the Issuer) setting forth the conversion rate after such adjustment and setting forth a brief statement of the facts requiring such adjustment and a computation thereof. Such certificate shall be conclusive evidence of the correctness of such adjustment. Neither the Trustee nor any conversion agent shall be under any duty or responsibility with respect to any such certificate or any facts or computations set forth therein, except to exhibit said certificate from time to time to any Securityholder of such series desiring to inspect the same. The Issuer shall promptly cause a notice setting forth the adjusted conversion rate to be mailed to the Holders of Securities of such series, as their names and addresses appear upon the register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event that at any time, as a result of shares of any other class of Capital Stock becoming issuable in exchange or substitution for or in lieu of shares of the class of Capital Stock into which such Securities are convertible or as a result of an adjustment made pursuant to subsection (a) above, the Holder of any Security of such series thereafter surrendered for conversion shall become entitled to receive any shares of the Issuer other than shares of the class of Capital Stock into which the Issuer of such series are convertible, thereafter the number of such other shares so receivable upon conversion of any Security shall be subject to adjustment from time to time in a manner and on terms as nearly equivalent as practicable to the provisions with respect to the class of Capital Stock into which the Securities of such series are convertible contained in subsections (a) to (f), inclusive, above, and the provisions of this Article 12 with respect to the class of Capital Stock into which the Securities of such series are convertible shall apply on like terms to any such other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conversion rate with respect to any Original Issue Discount Security, the terms of which provide for convertibility, shall not be adjusted during the term of such Original Issue Discount Security for accrued original issue discount.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the event that the Securities of any series are convertible into more than one class of Capital Stock, the provisions of this Section 12.05 shall apply separately to events affecting each such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12.06 </w:t>
      </w:r>
      <w:r>
        <w:rPr>
          <w:rFonts w:ascii="Times New Roman;Times;Serif" w:hAnsi="Times New Roman;Times;Serif"/>
          <w:b w:val="false"/>
          <w:i/>
          <w:caps w:val="false"/>
          <w:smallCaps w:val="false"/>
          <w:sz w:val="20"/>
        </w:rPr>
        <w:t>No Fractional Shares to Be Issued</w:t>
      </w:r>
      <w:r>
        <w:rPr>
          <w:rFonts w:ascii="Times New Roman;Times;Serif" w:hAnsi="Times New Roman;Times;Serif"/>
          <w:b w:val="false"/>
          <w:i w:val="false"/>
          <w:caps w:val="false"/>
          <w:smallCaps w:val="false"/>
          <w:sz w:val="20"/>
        </w:rPr>
        <w:t>. No fractional shares of Capital Stock shall be issued upon conversions of Securities. If more than one Security of any series shall be surrendered for conversion at one time by the same Holder, the number of full shares which shall be issuable upon conversion thereof shall be computed on the basis of the aggregate Principal amount of the Securities of such series (or specified portions thereof to the extent permitted hereby) so surrendered. Instead of a fraction of a share of Capital Stock which would otherwise be issuable upon conversion of any Security or Securities (or specified portions thereof), the Issuer shall pay a cash adjustment in respect of such fraction of a share in an amount equal to the same fractional interest of the current market price (as defined in Section 12.05) per share of Capital Stock on the Business Day next preceding the day of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12.07 </w:t>
      </w:r>
      <w:r>
        <w:rPr>
          <w:rFonts w:ascii="Times New Roman;Times;Serif" w:hAnsi="Times New Roman;Times;Serif"/>
          <w:b w:val="false"/>
          <w:i/>
          <w:caps w:val="false"/>
          <w:smallCaps w:val="false"/>
          <w:sz w:val="20"/>
        </w:rPr>
        <w:t>Preservation of Conversion Rights Upon Consolidation, Merger, Sale or Conveyance</w:t>
      </w:r>
      <w:r>
        <w:rPr>
          <w:rFonts w:ascii="Times New Roman;Times;Serif" w:hAnsi="Times New Roman;Times;Serif"/>
          <w:b w:val="false"/>
          <w:i w:val="false"/>
          <w:caps w:val="false"/>
          <w:smallCaps w:val="false"/>
          <w:sz w:val="20"/>
        </w:rPr>
        <w:t>. In case of any consolidation of the Issuer with, or merger of the Issuer into, any other corporation (other than a consolidation or merger in which the Issuer is the continuing corporation), or in the case of any sale or transfer of all or substantially all of the assets of the Issuer, the corporation formed by such consolidation or the corporation into which the Issuer shall have been merged or the corporation which shall have acquired such assets, as the case may be, shall execute and deliver to the Trustee, a supplemental indenture, subject to the provisions of Article 7 and 8 as they relate to supplemental indentures, providing that the Holder of each Security then Outstanding of a series which was convertible into Capital Stock shall have the right thereafter to convert such Security into the kind and amount of shares of stock and other securities and property, including cash, receivable upon such consolidation, merger, sale or transfer by a holder of the number of shares of Capital Stock of the Issuer into which such Securities might have been converted immediately prior to such consolidation, merger, sale or transfer. Such supplemental indenture shall conform to the provisions of the Trust Indenture Act of 1939 as then in effect and shall provide for adjustments which shall be as nearly equivalent as may be practicable to the adjustments provided for in this Article 12. Neither the Trustee nor any conversion agent shall be under any responsibility to determine the correctness of any provision contained in any such supplemental indenture relating either to the kind or amount of shares of stock or other securities or property receivable by Securityholders upon the conversion of their Securities after any such consolidation, merger, sale or transfer, or to any adjustment to be made with respect there to and, subject to the provisions of Article 5, may accept as conclusive evidence of the correctness of any such provisions, and shall be protected in relying upon, an Opinion of Counsel with respect thereto. If in the case of any such consolidation, merger, sale or transfer, the stock or other securities and property receivable by a Holder of the Securities includes stock or other securities and property of a corporation other than the successor or purchasing corporation, then such supplemental indenture shall also be executed by such other corporation and shall contain such additional provisions to protect the interests of the Holders of the Securities as the Board of Directors shall reasonably consider necessary. The above provisions of this Section 12.07 shall similarly apply to successive consolidations, mergers, sales or transfers.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12.08 </w:t>
      </w:r>
      <w:r>
        <w:rPr>
          <w:rFonts w:ascii="Times New Roman;Times;Serif" w:hAnsi="Times New Roman;Times;Serif"/>
          <w:b w:val="false"/>
          <w:i/>
          <w:caps w:val="false"/>
          <w:smallCaps w:val="false"/>
          <w:sz w:val="20"/>
        </w:rPr>
        <w:t>Notice to Security Holders of a Series Prior to Taking Certain Types of Action</w:t>
      </w:r>
      <w:r>
        <w:rPr>
          <w:rFonts w:ascii="Times New Roman;Times;Serif" w:hAnsi="Times New Roman;Times;Serif"/>
          <w:b w:val="false"/>
          <w:i w:val="false"/>
          <w:caps w:val="false"/>
          <w:smallCaps w:val="false"/>
          <w:sz w:val="20"/>
        </w:rPr>
        <w:t>. With respect to the Securities of any series, in case: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authorize the issuance to all holders of the class of Capital Stock into which Securities of such series are convertible of rights or warrants to subscribe for or purchase shares of its Capital Stock or of any other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shall authorize the distribution to all holders of the class of Capital Stock into which Securities of such series are convertible of evidences of its indebtedness or assets (except for the exclusions with respect to certain dividends set forth in Section 12.05(c));</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of any subdivision, combination or reclassification of the class of Capital Stock into which Securities of such series are convertible or of any consolidation or merger to which the Issuer is a party and for which approval by the shareholders of the Issuer is required, or of the sale or transfer of all or substantially all of the assets of the Issuer;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of the voluntary or involuntary dissolution, liquidation or winding up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Issuer shall cause to be filed with the Trustee and at the office or agency maintained for the purpose of conversion of Securities of such series pursuant to Section 3.02, and shall cause to be mailed to the Holders of Securities of such series, at their last addresses as they shall appear upon the register of the Issuer, at least 10 days prior to the applicable record date hereinafter specified, a notice stating (i) the date as of which the holders of such class of Capital Stock to be entitled to receive any such rights, warrants or distribution are to be determined, or (ii) the date on which any such subdivision, combination, reclassification, consolidation, merger, sale, transfer, dissolution, liquidation, winding up or other action is expected to become effective, and the date as of which it is expected that holders of record of such class of Capital Stock shall be entitled to exchange their Capital Stock of such class for securities or other property, if any, deliverable upon such subdivision, combination, reclassification, consolidation, merger, sale, transfer, dissolution, liquidation, winding up or other action. The failure to give the notice required by this Section 12.08 or any defect therein shall not affect the legality or validity of any distribution, right, warrant, subdivision, combination, reclassification, consolidation, merger, sale, transfer, dissolution, liquidation, winding up or other action, or the vote upon any of the foregoing. Such notice shall also be published by and at the expense of the Issuer not later than the aforesaid filing date at least once in an Authorized Newspaper.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12.09 </w:t>
      </w:r>
      <w:r>
        <w:rPr>
          <w:rFonts w:ascii="Times New Roman;Times;Serif" w:hAnsi="Times New Roman;Times;Serif"/>
          <w:b w:val="false"/>
          <w:i/>
          <w:caps w:val="false"/>
          <w:smallCaps w:val="false"/>
          <w:sz w:val="20"/>
        </w:rPr>
        <w:t>Covenant to Reserve Shares for Issuance on Conversion of Securities</w:t>
      </w:r>
      <w:r>
        <w:rPr>
          <w:rFonts w:ascii="Times New Roman;Times;Serif" w:hAnsi="Times New Roman;Times;Serif"/>
          <w:b w:val="false"/>
          <w:i w:val="false"/>
          <w:caps w:val="false"/>
          <w:smallCaps w:val="false"/>
          <w:sz w:val="20"/>
        </w:rPr>
        <w:t>. The Issuer covenants that at all times it will reserve and keep available out of each class of its authorized Capital Stock, free from preemptive rights, solely for the purpose of issue upon conversion of Securities of any series as herein provided, such number of shares of Capital Stock of such class as shall then be issuable upon the conversion of all Outstanding Securities of such series. The Issuer covenants that an shares of Capital Stock which shall be so issuable shall, when issued or delivered, be duly and validly issued shares of the class of authorized Capital Stock into which Securities of such series are convertible, and shall be fully paid and nonassessable, free of all liens and charges and not subject to preemptive rights and that, upon conversion, the appropriate capital stock accounts of the Issuer will be duly credited.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12.10 </w:t>
      </w:r>
      <w:r>
        <w:rPr>
          <w:rFonts w:ascii="Times New Roman;Times;Serif" w:hAnsi="Times New Roman;Times;Serif"/>
          <w:b w:val="false"/>
          <w:i/>
          <w:caps w:val="false"/>
          <w:smallCaps w:val="false"/>
          <w:sz w:val="20"/>
        </w:rPr>
        <w:t>Compliance with Governmental Requirements</w:t>
      </w:r>
      <w:r>
        <w:rPr>
          <w:rFonts w:ascii="Times New Roman;Times;Serif" w:hAnsi="Times New Roman;Times;Serif"/>
          <w:b w:val="false"/>
          <w:i w:val="false"/>
          <w:caps w:val="false"/>
          <w:smallCaps w:val="false"/>
          <w:sz w:val="20"/>
        </w:rPr>
        <w:t>. The Issuer covenants that if any shares of Capital Stock required to be reserved for purposes of conversion of Securities hereunder require registration or listing with or approval of any governmental authority under any Federal or State law, pursuant to the Securities Act of 1933, as amended, or the Securities Exchange Act of 1934, as amended, or any national or regional securities exchange on which such Capital Stock is listed at the time of delivery of any shares of such Capital Stock, before such shares may be issued upon conversion, the Issuer will use reasonable efforts to cause such shares to be duly registered, listed or approved, as the case may be.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12.11 </w:t>
      </w:r>
      <w:r>
        <w:rPr>
          <w:rFonts w:ascii="Times New Roman;Times;Serif" w:hAnsi="Times New Roman;Times;Serif"/>
          <w:b w:val="false"/>
          <w:i/>
          <w:caps w:val="false"/>
          <w:smallCaps w:val="false"/>
          <w:sz w:val="20"/>
        </w:rPr>
        <w:t>Payment of Taxes Upon Certificates for Shares Issued Upon Conversion</w:t>
      </w:r>
      <w:r>
        <w:rPr>
          <w:rFonts w:ascii="Times New Roman;Times;Serif" w:hAnsi="Times New Roman;Times;Serif"/>
          <w:b w:val="false"/>
          <w:i w:val="false"/>
          <w:caps w:val="false"/>
          <w:smallCaps w:val="false"/>
          <w:sz w:val="20"/>
        </w:rPr>
        <w:t>. The issuance of certificates for shares of Capital Stock upon the conversion of Securities shall be made without charge to the converting Securityholders for any tax (including, without limitation, all documentary and stamp taxes) in respect of the issuance and delivery of such certificates, and such certificates shall be issued in the respective names of, or in such names as may be directed by, the Holders of the Securities converted; provided, however, that the Issuer shall not be required to pay any tax which may be payable in respect of any transfer involved in the issuance and delivery of any such certificate in a name other than that of the Holder of the Security converted, and the Issuer shall not be required to issue or deliver such certificates unless or until the person or persons requesting the issuance thereof shall have paid to the Issuer the amount of such tax or shall have established to the satisfaction of the Issuer that such tax has been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12.12 </w:t>
      </w:r>
      <w:r>
        <w:rPr>
          <w:rFonts w:ascii="Times New Roman;Times;Serif" w:hAnsi="Times New Roman;Times;Serif"/>
          <w:b w:val="false"/>
          <w:i/>
          <w:caps w:val="false"/>
          <w:smallCaps w:val="false"/>
          <w:sz w:val="20"/>
        </w:rPr>
        <w:t>Trustee’s Duties with Respect to Conversion Provisions</w:t>
      </w:r>
      <w:r>
        <w:rPr>
          <w:rFonts w:ascii="Times New Roman;Times;Serif" w:hAnsi="Times New Roman;Times;Serif"/>
          <w:b w:val="false"/>
          <w:i w:val="false"/>
          <w:caps w:val="false"/>
          <w:smallCaps w:val="false"/>
          <w:sz w:val="20"/>
        </w:rPr>
        <w:t>. The Trustee and any conversion agent shall not at any time be under any duty or responsibility to any Securityholder to determine whether any facts exist which may require any adjustment of the conversion rate or conversion price, or with respect to the nature or extent of any such adjustment when made, or with respect to the method employed, or herein or in any supplemental indenture provided to be employed, in making the same. Neither the Trustee nor any conversion agent shall be accountable with respect to the registration under securities laws, listing, validity or value (or the kind or amount) of any shares of Capital Stock, or of any other securities or property, which may at any time be issued or delivered upon the conversion of any Security; and neither the Trustee nor any conversion agent makes any representation with respect thereto. Neither the Trustee nor any conversion agent shall be responsible for any failure of the Issuer to make any cash payment or to issue, transfer or deliver any shares of stock or stock certificates or other securities or property upon the surrender of any Security for the purpose of conversion; and the Trustee, subject to the provisions of Article 5, and any conversion agent shall not be responsible for any failure of the Issuer to comply with any of the covenants of the Issuer contained in this Article 12.</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first date written above.</w:t>
      </w:r>
    </w:p>
    <w:p>
      <w:pPr>
        <w:pStyle w:val="TextBody"/>
        <w:bidi w:val="0"/>
        <w:spacing w:before="0" w:after="0"/>
        <w:ind w:left="0" w:right="0" w:firstLine="720"/>
        <w:jc w:val="both"/>
        <w:rPr>
          <w:caps w:val="false"/>
          <w:smallCaps w:val="false"/>
        </w:rPr>
      </w:pPr>
      <w:r>
        <w:rPr>
          <w:caps w:val="false"/>
          <w:smallCaps w:val="false"/>
        </w:rPr>
        <w:t> </w:t>
      </w:r>
    </w:p>
    <w:tbl>
      <w:tblPr>
        <w:tblW w:w="3079" w:type="dxa"/>
        <w:jc w:val="left"/>
        <w:tblInd w:w="0" w:type="dxa"/>
        <w:tblLayout w:type="fixed"/>
        <w:tblCellMar>
          <w:top w:w="0" w:type="dxa"/>
          <w:left w:w="0" w:type="dxa"/>
          <w:bottom w:w="0" w:type="dxa"/>
          <w:right w:w="0" w:type="dxa"/>
        </w:tblCellMar>
      </w:tblPr>
      <w:tblGrid>
        <w:gridCol w:w="75"/>
        <w:gridCol w:w="1671"/>
        <w:gridCol w:w="13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as Issuer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1" w:type="dxa"/>
            <w:tcBorders/>
            <w:vAlign w:val="center"/>
          </w:tcPr>
          <w:p>
            <w:pPr>
              <w:pStyle w:val="TableContents"/>
              <w:bidi w:val="0"/>
              <w:spacing w:before="0" w:after="283"/>
              <w:jc w:val="left"/>
              <w:rPr>
                <w:caps w:val="false"/>
                <w:smallCaps w:val="false"/>
              </w:rPr>
            </w:pPr>
            <w:r>
              <w:rPr>
                <w:caps w:val="false"/>
                <w:smallCaps w:val="false"/>
              </w:rPr>
              <w:t> </w:t>
            </w:r>
          </w:p>
        </w:tc>
        <w:tc>
          <w:tcPr>
            <w:tcW w:w="13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3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1" w:type="dxa"/>
            <w:tcBorders/>
            <w:vAlign w:val="center"/>
          </w:tcPr>
          <w:p>
            <w:pPr>
              <w:pStyle w:val="TableContents"/>
              <w:bidi w:val="0"/>
              <w:spacing w:before="0" w:after="283"/>
              <w:jc w:val="left"/>
              <w:rPr>
                <w:caps w:val="false"/>
                <w:smallCaps w:val="false"/>
              </w:rPr>
            </w:pPr>
            <w:r>
              <w:rPr>
                <w:caps w:val="false"/>
                <w:smallCaps w:val="false"/>
              </w:rPr>
              <w:t> </w:t>
            </w:r>
          </w:p>
        </w:tc>
        <w:tc>
          <w:tcPr>
            <w:tcW w:w="13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2"/>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as Trustee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1" w:type="dxa"/>
            <w:tcBorders/>
            <w:vAlign w:val="center"/>
          </w:tcPr>
          <w:p>
            <w:pPr>
              <w:pStyle w:val="TableContents"/>
              <w:bidi w:val="0"/>
              <w:spacing w:before="0" w:after="283"/>
              <w:jc w:val="left"/>
              <w:rPr>
                <w:caps w:val="false"/>
                <w:smallCaps w:val="false"/>
              </w:rPr>
            </w:pPr>
            <w:r>
              <w:rPr>
                <w:caps w:val="false"/>
                <w:smallCaps w:val="false"/>
              </w:rPr>
              <w:t> </w:t>
            </w:r>
          </w:p>
        </w:tc>
        <w:tc>
          <w:tcPr>
            <w:tcW w:w="13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3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33"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DEPOSITORY OR A NOMINEE OF SUCH SUCCESSOR DEPOSITARY. UNLESS THIS SECURITY IS PRESENTED BY AN AUTHORIZED REPRESENTATIVE OF THE DEPOSITORY TRUST COMPANY, A NEW YORK CORPORATION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THE COMPANY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Senior Note Due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CUSIP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a Delaware corporation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which term includes any successor corporation), for value received promises to pay to CEDE &amp; CO. or its registered assigns, the principal sum of ● 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 and ● (each, an “</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commencing on ●. Interest Record Dates: ● and ● (each, an “</w:t>
      </w:r>
      <w:r>
        <w:rPr>
          <w:rFonts w:ascii="Times New Roman;Times;Serif" w:hAnsi="Times New Roman;Times;Serif"/>
          <w:b/>
          <w:i w:val="false"/>
          <w:caps w:val="false"/>
          <w:smallCaps w:val="false"/>
          <w:sz w:val="20"/>
        </w:rPr>
        <w:t>Interest 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Security contained herein, which will for all purposes have the same effect as if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Security to be signed manually or by facsimile by its duly authorized officer.</w:t>
      </w:r>
    </w:p>
    <w:p>
      <w:pPr>
        <w:pStyle w:val="TextBody"/>
        <w:bidi w:val="0"/>
        <w:spacing w:before="0" w:after="0"/>
        <w:ind w:left="0" w:right="0" w:firstLine="720"/>
        <w:jc w:val="both"/>
        <w:rPr>
          <w:caps w:val="false"/>
          <w:smallCaps w:val="false"/>
        </w:rPr>
      </w:pPr>
      <w:r>
        <w:rPr>
          <w:caps w:val="false"/>
          <w:smallCaps w:val="false"/>
        </w:rPr>
        <w:t> </w:t>
      </w:r>
    </w:p>
    <w:tbl>
      <w:tblPr>
        <w:tblW w:w="2314" w:type="dxa"/>
        <w:jc w:val="left"/>
        <w:tblInd w:w="0" w:type="dxa"/>
        <w:tblLayout w:type="fixed"/>
        <w:tblCellMar>
          <w:top w:w="0" w:type="dxa"/>
          <w:left w:w="0" w:type="dxa"/>
          <w:bottom w:w="0" w:type="dxa"/>
          <w:right w:w="0" w:type="dxa"/>
        </w:tblCellMar>
      </w:tblPr>
      <w:tblGrid>
        <w:gridCol w:w="75"/>
        <w:gridCol w:w="1052"/>
        <w:gridCol w:w="11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52" w:type="dxa"/>
            <w:tcBorders/>
            <w:vAlign w:val="center"/>
          </w:tcPr>
          <w:p>
            <w:pPr>
              <w:pStyle w:val="TableContents"/>
              <w:bidi w:val="0"/>
              <w:spacing w:before="0" w:after="283"/>
              <w:jc w:val="left"/>
              <w:rPr>
                <w:caps w:val="false"/>
                <w:smallCaps w:val="false"/>
              </w:rPr>
            </w:pPr>
            <w:r>
              <w:rPr>
                <w:caps w:val="false"/>
                <w:smallCaps w:val="false"/>
              </w:rPr>
              <w:t> </w:t>
            </w:r>
          </w:p>
        </w:tc>
        <w:tc>
          <w:tcPr>
            <w:tcW w:w="11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8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18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series designated herein and referred to in the within-mentioned Indenture.</w:t>
      </w:r>
    </w:p>
    <w:p>
      <w:pPr>
        <w:pStyle w:val="TextBody"/>
        <w:bidi w:val="0"/>
        <w:spacing w:before="0" w:after="0"/>
        <w:ind w:left="0" w:right="0" w:firstLine="72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0" w:type="dxa"/>
            <w:gridSpan w:val="2"/>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as Trustee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SECURITY)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 Senior Note Due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a Delaware corporation (the “Issuer”), promises to pay interest on the Principal amount of this Security at the rate per annum shown above. Cash interest on the Securities will accrue from the most recent date to which interest has been paid or, if no interest has been paid, from ●. The Issuer will pay interest semi-annually in arrears on each Interest Payment Date, commencing ●. Interest will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overdue Principal from time to time on demand at the rate borne by the Securities and on overdue installments of interest (without regard to any applicable grace periods) to the extent 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Method of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w:t>
      </w:r>
      <w:r>
        <w:rPr>
          <w:rFonts w:ascii="Times New Roman;Times;Serif" w:hAnsi="Times New Roman;Times;Serif"/>
          <w:b/>
          <w:i w:val="false"/>
          <w:caps w:val="false"/>
          <w:smallCaps w:val="false"/>
          <w:sz w:val="20"/>
        </w:rPr>
        <w:t>U.S. Legal Tender</w:t>
      </w:r>
      <w:r>
        <w:rPr>
          <w:rFonts w:ascii="Times New Roman;Times;Serif" w:hAnsi="Times New Roman;Times;Serif"/>
          <w:b w:val="false"/>
          <w:i w:val="false"/>
          <w:caps w:val="false"/>
          <w:smallCaps w:val="false"/>
          <w:sz w:val="20"/>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will act as Paying Agent. The Issuer may change any Paying Agent without notice to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the Securities under an Indenture, dated as of ●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Issuer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Denominations; Transfer;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in registered form, without coupons, in denominations of $1,000 and multiples of $1,000.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such series is selected for redemption, nor need the Issuer register the transfer or exchange of any security selected for redemption in whole or in part.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Persons Deemed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a Security shall be treated as the owner of it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Unclaimed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Legal Defeasance and Covenant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be discharged from its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Amendment; Supplement;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Trust Indenture Act, or make any other change that does not adversely affect the rights of any Holder of 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Defaults and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(other than certain bankruptcy Events of Default with respect to the Issuer)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Indenture, including, without limitation, provisions giving the Holder of this Security the right to convert this Security into Capital Stock of the Issuer on the terms and subject to the limitations as more fully specified in the Indenture. The initial conversion rate for this Security is ●. This conversion rate is subject to modification as provided in the Indenture. Such further provisions shall for all purposes have the same effect as though fully set forth at this place.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Trustee Dealings with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under the Indenture, in its individual or any other capacity, may become the owner or pledgee of Securities and may otherwise deal with the Issuer as if it were not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No Recourse Against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stockholder, director, officer, employee or incorporator, as such, of the Issuer or any successor Person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not be valid until the Trustee manually signs the certificate of authentication on this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Abbreviations and Defined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CUSIP Numbers.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New York shall govern the Indenture and this Security thereof.</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tbl>
      <w:tblPr>
        <w:tblW w:w="6170" w:type="dxa"/>
        <w:jc w:val="left"/>
        <w:tblInd w:w="0" w:type="dxa"/>
        <w:tblLayout w:type="fixed"/>
        <w:tblCellMar>
          <w:top w:w="0" w:type="dxa"/>
          <w:left w:w="0" w:type="dxa"/>
          <w:bottom w:w="28" w:type="dxa"/>
          <w:right w:w="0" w:type="dxa"/>
        </w:tblCellMar>
      </w:tblPr>
      <w:tblGrid>
        <w:gridCol w:w="6170"/>
      </w:tblGrid>
      <w:tr>
        <w:trPr/>
        <w:tc>
          <w:tcPr>
            <w:tcW w:w="61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tc>
      </w:tr>
      <w:tr>
        <w:trPr/>
        <w:tc>
          <w:tcPr>
            <w:tcW w:w="61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name, address and zip code of assignee or transferee)</w:t>
            </w:r>
          </w:p>
        </w:tc>
      </w:tr>
      <w:tr>
        <w:trPr/>
        <w:tc>
          <w:tcPr>
            <w:tcW w:w="61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Social Security or other identifying number of assignee or transferee)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 agent to transfer this Security on the books of the Issuer. The agent may substitute another to act for him.</w:t>
      </w:r>
    </w:p>
    <w:p>
      <w:pPr>
        <w:pStyle w:val="TextBody"/>
        <w:bidi w:val="0"/>
        <w:spacing w:before="0" w:after="0"/>
        <w:ind w:left="0" w:right="0" w:hanging="0"/>
        <w:jc w:val="both"/>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575"/>
        <w:gridCol w:w="60"/>
        <w:gridCol w:w="60"/>
        <w:gridCol w:w="650"/>
        <w:gridCol w:w="5390"/>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w:t>
            </w:r>
          </w:p>
        </w:tc>
        <w:tc>
          <w:tcPr>
            <w:tcW w:w="53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exactly as name appears on the other side of this Security)</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6"/>
        <w:gridCol w:w="60"/>
        <w:gridCol w:w="8649"/>
      </w:tblGrid>
      <w:tr>
        <w:trPr/>
        <w:tc>
          <w:tcPr>
            <w:tcW w:w="14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vAlign w:val="center"/>
          </w:tcPr>
          <w:p>
            <w:pPr>
              <w:pStyle w:val="TableContents"/>
              <w:bidi w:val="0"/>
              <w:spacing w:before="0" w:after="283"/>
              <w:jc w:val="left"/>
              <w:rPr/>
            </w:pPr>
            <w:r>
              <w:rPr/>
              <w:t> </w:t>
            </w:r>
          </w:p>
        </w:tc>
        <w:tc>
          <w:tcPr>
            <w:tcW w:w="864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 Guarantee Medallion Program (or other signature guarantor program reasonably acceptable to the Trustee)</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7" w:name="ex4-5.htm"/>
      <w:bookmarkStart w:id="38" w:name="ksex45"/>
      <w:bookmarkEnd w:id="37"/>
      <w:bookmarkEnd w:id="3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 as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 as Trustee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 REFERENCE SHEET</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Trust Indenture Act of 1939 and the Indenture to be dated as of _________, 20___ between APTERA MOTORS CORP. and ___________________, as Trustee:</w:t>
      </w:r>
    </w:p>
    <w:p>
      <w:pPr>
        <w:pStyle w:val="TextBody"/>
        <w:bidi w:val="0"/>
        <w:spacing w:before="0" w:after="0"/>
        <w:ind w:left="0" w:right="0" w:hanging="0"/>
        <w:jc w:val="both"/>
        <w:rPr>
          <w:caps w:val="false"/>
          <w:smallCaps w:val="false"/>
        </w:rPr>
      </w:pPr>
      <w:r>
        <w:rPr>
          <w:caps w:val="false"/>
          <w:smallCaps w:val="false"/>
        </w:rPr>
        <w:t> </w:t>
      </w:r>
    </w:p>
    <w:tbl>
      <w:tblPr>
        <w:tblW w:w="3550" w:type="dxa"/>
        <w:jc w:val="left"/>
        <w:tblInd w:w="0" w:type="dxa"/>
        <w:tblLayout w:type="fixed"/>
        <w:tblCellMar>
          <w:top w:w="0" w:type="dxa"/>
          <w:left w:w="0" w:type="dxa"/>
          <w:bottom w:w="28" w:type="dxa"/>
          <w:right w:w="0" w:type="dxa"/>
        </w:tblCellMar>
      </w:tblPr>
      <w:tblGrid>
        <w:gridCol w:w="1760"/>
        <w:gridCol w:w="60"/>
        <w:gridCol w:w="1730"/>
      </w:tblGrid>
      <w:tr>
        <w:trPr/>
        <w:tc>
          <w:tcPr>
            <w:tcW w:w="17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the Act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Indenture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310(a)(1) and (2)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310(a)(3) and (4)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5.09(a), (b) and (d)</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4.02(c)</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313(b)(1)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313(b)(2)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314(c)(1) and (2)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314(c)(3)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314(f)</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315(a), (c) and (d)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 (last sentence)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3.03(a) and (b)</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This Cross Reference Sheet is not part of the Indenture.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center"/>
        <w:rPr>
          <w:caps w:val="false"/>
          <w:smallCaps w:val="false"/>
        </w:rPr>
      </w:pPr>
      <w:r>
        <w:rPr>
          <w:caps w:val="false"/>
          <w:smallCaps w:val="false"/>
        </w:rPr>
        <w:t> </w:t>
      </w:r>
    </w:p>
    <w:tbl>
      <w:tblPr>
        <w:tblW w:w="9435" w:type="dxa"/>
        <w:jc w:val="left"/>
        <w:tblInd w:w="0" w:type="dxa"/>
        <w:tblLayout w:type="fixed"/>
        <w:tblCellMar>
          <w:top w:w="0" w:type="dxa"/>
          <w:left w:w="0" w:type="dxa"/>
          <w:bottom w:w="0" w:type="dxa"/>
          <w:right w:w="0" w:type="dxa"/>
        </w:tblCellMar>
      </w:tblPr>
      <w:tblGrid>
        <w:gridCol w:w="1055"/>
        <w:gridCol w:w="7955"/>
        <w:gridCol w:w="425"/>
      </w:tblGrid>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795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795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1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1 DEFINITIONS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Terms Defined</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01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2 SECURITIES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6</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 Generally</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Trustee’s Certification of Authentication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Unlimited; Issuable in Series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and Delivery of Securities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of Securities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Denomination and Date of Securities; Payments of Interest</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Transfer and Exchange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Mutilated, Defaced, Destroyed, Lost and Stolen Securities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Securities; Destruction Thereof</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Securities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Computation of Interest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01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3 COVENANTS OF THE ISSUER AND THE TRUSTEE</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13</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and Interest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Offices for Payments, etc</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the Issuer</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Securityholders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by the Issuer</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Existence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Mergers, Sales and Consolidations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01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4 REMEDIES OF THE TRUSTEE AND SECURITYHOLDERS ON EVENT OF DEFAULT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15</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of Default Defined; Acceleration of Maturity; Waiver of Default</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of Indebtedness by Trustee; Trustee May Prove Debt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Proceeds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Suits for Enforcement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Restoration of Rights on Abandonment of Proceedings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Suits by Securityholder</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Unconditional Right of Securityholders to Institute Certain Suits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and Remedies Cumulative; Delay or Omission Not Waiver of Default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by Securityholders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Past Defaults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to Give Notice of Default, But May Withhold in Certain Circumstances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Court to Require Filing of Undertaking to Pay Costs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0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01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5 CONCERNING THE TRUSTEE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21</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Duties and Responsibilities of the Trustee</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Rights of the Trustee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Not Responsible for Recitals, Disposition of Securities or Application of Proceeds Thereof</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and Agents May Hold Securities; Collections, etc</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Monies Held by Trustee</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tbl>
      <w:tblPr>
        <w:tblW w:w="8475" w:type="dxa"/>
        <w:jc w:val="left"/>
        <w:tblInd w:w="0" w:type="dxa"/>
        <w:tblLayout w:type="fixed"/>
        <w:tblCellMar>
          <w:top w:w="0" w:type="dxa"/>
          <w:left w:w="0" w:type="dxa"/>
          <w:bottom w:w="0" w:type="dxa"/>
          <w:right w:w="0" w:type="dxa"/>
        </w:tblCellMar>
      </w:tblPr>
      <w:tblGrid>
        <w:gridCol w:w="1160"/>
        <w:gridCol w:w="6860"/>
        <w:gridCol w:w="455"/>
      </w:tblGrid>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Indemnification of Trustee and Its Prior Claim</w:t>
            </w:r>
          </w:p>
        </w:tc>
        <w:tc>
          <w:tcPr>
            <w:tcW w:w="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Trustee to Rely on Officers’ Certificate, etc</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Eligible for Appointment as Trustee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and Removal; Appointment of Successor Trustee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Appointment by Successor</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Conversion, Consolidation or Succession to Business of Trustee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to the Trustee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2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6 CONCERNING THE SECURITYHOLDERS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26</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Action Taken by Securityholders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Proof of Execution of Instruments and of Holding of Securities; Record Date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to be Treated as Owners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Owned by Issuer Deemed Not Outstanding</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Revocation of Action Taken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2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7 SUPPLEMENTAL INDENTURES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27</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 Without Consent of Securityholders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 With Consent of Securityholders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Supplemental Indenture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to Be Given to Trustee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Notation on Securities in Respect of Supplemental Indentures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2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8 CONSOLIDATION, MERGER, SALE OR CONVEYANCE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30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May Consolidate, etc</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Corporation Substituted</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2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9 DISCHARGE OF INDENTURE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31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Within One Year of Payment</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Defeasance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Trust Money</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to Issuer</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2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10 MISCELLANEOUS PROVISIONS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33</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Incorporators, Stockholders, Officers and Directors Exempt from Individual Liability</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Indenture for the Sole Benefit of Parties and Securityholders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 and Assigns of Issuer Bound by Indenture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and Demands on Issuer, Trustee and Securityholders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Certificates and Opinions of Counsel; Statements to be Contained Therein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Due on Saturdays, Sundays and Holidays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 of Any Provision of Indenture with Trust Indenture Act of 1939</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Law to Govern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Headings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2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11 REDEMPTION OF SECURITIES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35</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Applicability of Article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Partial Redemptions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Securities Called for Redemption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of Certain Securities from Eligibility for Selection for Redemption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Arrangement On Call For Redemption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02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12 CONVERSION OF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37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Applicability of Article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Securityholders to Convert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jc w:val="center"/>
        <w:rPr>
          <w:caps w:val="false"/>
          <w:smallCaps w:val="false"/>
        </w:rPr>
      </w:pPr>
      <w:r>
        <w:rPr>
          <w:caps w:val="false"/>
          <w:smallCaps w:val="false"/>
        </w:rPr>
        <w:t> </w:t>
      </w:r>
    </w:p>
    <w:tbl>
      <w:tblPr>
        <w:tblW w:w="8520" w:type="dxa"/>
        <w:jc w:val="left"/>
        <w:tblInd w:w="0" w:type="dxa"/>
        <w:tblLayout w:type="fixed"/>
        <w:tblCellMar>
          <w:top w:w="0" w:type="dxa"/>
          <w:left w:w="0" w:type="dxa"/>
          <w:bottom w:w="0" w:type="dxa"/>
          <w:right w:w="0" w:type="dxa"/>
        </w:tblCellMar>
      </w:tblPr>
      <w:tblGrid>
        <w:gridCol w:w="1160"/>
        <w:gridCol w:w="6905"/>
        <w:gridCol w:w="455"/>
      </w:tblGrid>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of Capital Stock on Conversion</w:t>
            </w:r>
          </w:p>
        </w:tc>
        <w:tc>
          <w:tcPr>
            <w:tcW w:w="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Payment or Adjustment for Interest or Dividends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12.05</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of Conversion Rate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12.06</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to Be Issued</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12.07</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Preservation of Conversion Rights Upon Consolidation, Merger, Sale or Conveyance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12.08</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Security Holders of a Series Prior to Taking Certain Types of Action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12.09</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to Reserve Shares for Issuance on Conversion of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12.10</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Governmental Requirements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12.11</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Taxes Upon Certificates for Shares Issued Upon Conversion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12.12</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Duties with Respect to Conversion Provisions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6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13 SUBORDINATION OF SECURITIES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43</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Of Subordination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to Holders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13.03</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Subrogation Of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13.04</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By Holders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13.05</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Trustee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13.06</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Relation to Senior Indebtedness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13.07</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Of Subordination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13.08</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Trustee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dated as of , between APTERA MOTORS CORP., a Delaware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and ●, a ● corporation,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issue from time to time of its unsecured debentures, notes or other evidences of indebtedness to be issued in one or more series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up to such principal amount or amounts as may from time to time be authorized in accordance with the terms of this Indenture and to provide, among other things, for the authentication, delivery and administration thereof, the Issuer has duly authorized the execution and delivery of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indenture and agreement according to its terms have been done;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caps w:val="false"/>
          <w:smallCaps w:val="false"/>
          <w:sz w:val="20"/>
        </w:rPr>
        <w:t>Certain Terms Defined</w:t>
      </w:r>
      <w:r>
        <w:rPr>
          <w:rFonts w:ascii="Times New Roman;Times;Serif" w:hAnsi="Times New Roman;Times;Serif"/>
          <w:b w:val="false"/>
          <w:i w:val="false"/>
          <w:caps w:val="false"/>
          <w:smallCaps w:val="false"/>
          <w:sz w:val="20"/>
        </w:rPr>
        <w:t>.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as amended,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GAAP.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Authorized Newspaper</w:t>
      </w:r>
      <w:r>
        <w:rPr>
          <w:rFonts w:ascii="Times New Roman;Times;Serif" w:hAnsi="Times New Roman;Times;Serif"/>
          <w:b w:val="false"/>
          <w:i w:val="false"/>
          <w:caps w:val="false"/>
          <w:smallCaps w:val="false"/>
          <w:sz w:val="20"/>
        </w:rPr>
        <w:t>” means a newspaper in the English language or in an official language of the country of publication, customarily printed on each Business Day, whether or not published on Saturdays, Sundays or holidays, and of general circulation in the place in connection with which the term is used or in the financial community of such place. If, because of temporary suspension of publication or general circulation of any newspaper or for any other reason, it is impossible or impracticable to make any publication of any notice required by this Indenture in the manner herein provided, such publication or other notice in lieu thereof which is made at the written direction of the Issuer by the Trustee shall constitute a sufficient publication of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either the Board of Directors of the Issuer or any committee of such Board duly authorized to act hereunder.</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Security, a day that in the city (or in all of the cities, if more than one) in which amounts are payable, as specified in the form of such Security, is not a day on which banking institutions are authorized by law or regulation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Capitalized Lease</w:t>
      </w:r>
      <w:r>
        <w:rPr>
          <w:rFonts w:ascii="Times New Roman;Times;Serif" w:hAnsi="Times New Roman;Times;Serif"/>
          <w:b w:val="false"/>
          <w:i w:val="false"/>
          <w:caps w:val="false"/>
          <w:smallCaps w:val="false"/>
          <w:sz w:val="20"/>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w:t>
      </w:r>
      <w:r>
        <w:rPr>
          <w:rFonts w:ascii="Times New Roman;Times;Serif" w:hAnsi="Times New Roman;Times;Serif"/>
          <w:b/>
          <w:i w:val="false"/>
          <w:caps w:val="false"/>
          <w:smallCaps w:val="false"/>
          <w:sz w:val="20"/>
        </w:rPr>
        <w:t>Capitalized Lease Obligation</w:t>
      </w:r>
      <w:r>
        <w:rPr>
          <w:rFonts w:ascii="Times New Roman;Times;Serif" w:hAnsi="Times New Roman;Times;Serif"/>
          <w:b w:val="false"/>
          <w:i w:val="false"/>
          <w:caps w:val="false"/>
          <w:smallCaps w:val="false"/>
          <w:sz w:val="20"/>
        </w:rPr>
        <w:t>” is defined to mean the rental obligations, as aforesaid, under such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any and all shares, interests, participations or other equivalents (however designated, whether voting or non-voting) of the Issuer’s capital stock or other ownership interests, whether now outstanding or issued after the date of this Indenture, including, without limitation, all Common Stock and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Price</w:t>
      </w:r>
      <w:r>
        <w:rPr>
          <w:rFonts w:ascii="Times New Roman;Times;Serif" w:hAnsi="Times New Roman;Times;Serif"/>
          <w:b w:val="false"/>
          <w:i w:val="false"/>
          <w:caps w:val="false"/>
          <w:smallCaps w:val="false"/>
          <w:sz w:val="20"/>
        </w:rPr>
        <w:t>” on any day when used with respect to any class of Capital Stock means the closing sale price per share (or if no closing sale price is reported, the average of the bid and ask prices or, if more than one in either case, the average of the average bid and the average ask prices) on that date as reported by The Nasdaq Capital Market or, if such Capital Stock is not listed on The Nasdaq Global Select Market, then on the principal U.S. national or regional securities exchange on which such Capital Stock is then listed. If such Capital Stock is not listed on either The Nasdaq Capital Market or on any U.S. national or regional securities exchange on the relevant date, the Closing Price will be the last quoted bid price for the Company’s Common Stock in the over-the-counter market on the relevant date as reported by the OTC Markets Group Inc. or similar organization. In the event that no such quotation is available for any day, the Board of Directors shall be entitled to determine in good faith the current market price on the basis of such quotations as it considers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any and all shares, interests, participations or other equivalents (however designated, whether voting or non-voting) of the Issuer’s common stock, par value $0.0001 per share, whether now outstanding or issued after the date of the Indenture, including, without limitation, all series and classes of such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the corporate trust business of the Trustee shall, at any particular time, be principally administered, which office is, at the date as of which this Indenture is dated, located at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Currency Agreement</w:t>
      </w:r>
      <w:r>
        <w:rPr>
          <w:rFonts w:ascii="Times New Roman;Times;Serif" w:hAnsi="Times New Roman;Times;Serif"/>
          <w:b w:val="false"/>
          <w:i w:val="false"/>
          <w:caps w:val="false"/>
          <w:smallCaps w:val="false"/>
          <w:sz w:val="20"/>
        </w:rPr>
        <w:t>” means any foreign exchange contract, currency swap agreement, or other similar agreement or arrangement designed to protect against the fluctuation in currency values.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of Default as defined in Section 4.01 and any event that is, or after notice or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the form of one or more Registered Global Securities, the Person designated as Depositary by the Issuer pursuant to Section 2.03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Determination Date</w:t>
      </w:r>
      <w:r>
        <w:rPr>
          <w:rFonts w:ascii="Times New Roman;Times;Serif" w:hAnsi="Times New Roman;Times;Serif"/>
          <w:b w:val="false"/>
          <w:i w:val="false"/>
          <w:caps w:val="false"/>
          <w:smallCaps w:val="false"/>
          <w:sz w:val="20"/>
        </w:rPr>
        <w:t>” has the meaning specified in Section 12.05.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has the meaning specified in Section 4.01.</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this Indenture shall be computed in conformity with GAAP applied on a consistent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entered into for purposes of assuring in any other manner the obligee of such Indebtedness or other obligation of the payment thereof or to protect such obligee against loss in respect thereof (in whole or in part);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shall not include endorsements for collection or deposit in the ordinary course of business.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used as a verb has a corresponding meaning.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or other similar terms mean the registered holder of any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Person at any date of determination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indebtedness of such Person for borrowed money;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of such Person evidenced by bonds, debentures, notes, or other similar instruments, in each case, for value received or settlement of claims;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obligations of such Person in respect of letters of credit or other similar instruments (including reimbursement obligations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obligations of such Person to pay the deferred and unpaid purchase price of property or services (but excluding trade accounts payable or accrued liabilities arising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obligations of such Person as lessee under Capitalized Leases;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all Indebtedness of other Persons secured by a Lien on any asset of such Person, whether or not such Indebtedness is assumed by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 such Indebtedness shall be the lesser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fair market value of such asset at such date of determination;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amount of such Indebtedness;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Indebtedness of other Persons to the extent Guaranteed by such Person;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the extent not otherwise included in this definition, obligations under Currency Agreements and Interest Rate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no event shall the term “Indebtedness” be deemed to include letters of credit or bonds that secure performance or surety bonds or similar instruments that are issued in the ordinary course of business.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Indebtedness shall not include any liability for federal, state, local, or 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means, when used with respect to non-interest bearing Securities, interest payable after maturity. “Interest Rate Agreement” means any obligation of any Person pursuant to any interest rate swap, cap, collar or similar arrangement providing protection against fluctuations in interest rates. For purposes of the Indenture, the amount of such obligation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 shall be the net amount so determined, plus any premium due upon default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means the Person identified as “Issuer” in the first paragraph hereof and, subject to Article 8, its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asset, any mortgage, lien, pledge, charge, security interest or encumbrance of any kind, or any other type of preferential arrangement that has the practical effect of creating a security interest, in respect of such asset. For the purposes of this Indenture, the Issuer shall be deemed to own subject to a Lien any asset that it has acquired or holds subject to the interest of a vendor or lessor under any conditional sale agreement, capital lease or other title retention agreement relating to such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the chairman of the Issuer’s Board of Directors, its president or any vice president, and by its treasurer, any assistant treasurer, its secretary or any assistant secretary of the Issuer, and delivered to the Trustee. Each such certificate shall comply with Section 314 of the Trust Indenture Act of 1939 and include the statements provided for in Section 10.05.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an opinion in writing signed by legal counsel who may be an employee of or counsel to the Issuer and who shall be satisfactory to the Trustee. Each such opinion shall comply with Section 314 of the Trust Indenture Act of 1939 and include the statements provided for in Section 10.05, if and to the extent required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of any Security (or portion thereof) means the earlier of (i) the date of such Security or (ii) the date of any Security (or portion thereof) for which such Security was issued (directly or indirectly) on registration of transfer, exchange or substitution.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Issue Discount Security</w:t>
      </w:r>
      <w:r>
        <w:rPr>
          <w:rFonts w:ascii="Times New Roman;Times;Serif" w:hAnsi="Times New Roman;Times;Serif"/>
          <w:b w:val="false"/>
          <w:i w:val="false"/>
          <w:caps w:val="false"/>
          <w:smallCaps w:val="false"/>
          <w:sz w:val="20"/>
        </w:rPr>
        <w:t>” means any Security that provides for an amount less than the Principal amount thereof to be due and payable upon a declaration of acceleration of the maturity thereof pursuant to Section 4.01.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when used with reference to Securities, shall, subject to the provisions of Section 6.04, mean, as of any particular time, all Securities authenticated and delivered by the Trustee under this Indenture,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Securities theretofore canceled by the Trustee or delivered to the Trustee for cancellation;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Securities, or portions thereof, for the payment or redemption of which monies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 satisfactory to the Trustee shall have been made for giving such notice;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 stock company, trust, unincorporated organization or government or any agency or political subdivision thereof or any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means any and all shares, interests, participations or other equivalents (however designated, whether voting or non-voting) of the Issuer’s preferred stock, par value $0.0001 per share, whether now outstanding or issued after the date of the Indenture, including, without limitation, all series and classes of such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means, with respect to the Securities or any Security or any portion thereof, the principal amount of such Securities, Security or portion thereof, and shall be deemed to include “and premium,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as used with respect to any interest payment date (except a date for payment of defaulted interest), has the meaning specified in Section 2.07.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Registered Global Security</w:t>
      </w:r>
      <w:r>
        <w:rPr>
          <w:rFonts w:ascii="Times New Roman;Times;Serif" w:hAnsi="Times New Roman;Times;Serif"/>
          <w:b w:val="false"/>
          <w:i w:val="false"/>
          <w:caps w:val="false"/>
          <w:smallCaps w:val="false"/>
          <w:sz w:val="20"/>
        </w:rPr>
        <w:t>” means a Security evidencing all or a part of a series of Registered Securities, issued to the Depositary for such series in accordance with Section 2.04, and bearing the legend prescribed in Section 2.04.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Registered Security</w:t>
      </w:r>
      <w:r>
        <w:rPr>
          <w:rFonts w:ascii="Times New Roman;Times;Serif" w:hAnsi="Times New Roman;Times;Serif"/>
          <w:b w:val="false"/>
          <w:i w:val="false"/>
          <w:caps w:val="false"/>
          <w:smallCaps w:val="false"/>
          <w:sz w:val="20"/>
        </w:rPr>
        <w:t>” means any Security registered on the register maintained by the Issuer pursuant to Section 2.08.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has the meaning stated in the first recital of this Indenture, or, as the case may be, Securities that have been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Indebtedness</w:t>
      </w:r>
      <w:r>
        <w:rPr>
          <w:rFonts w:ascii="Times New Roman;Times;Serif" w:hAnsi="Times New Roman;Times;Serif"/>
          <w:b w:val="false"/>
          <w:i w:val="false"/>
          <w:caps w:val="false"/>
          <w:smallCaps w:val="false"/>
          <w:sz w:val="20"/>
        </w:rPr>
        <w:t>” of the Issuer means (a) all Indebtedness of the Issuer, whether currently outstanding or hereafter issued, unless, by the terms of the instrument creating or evidencing such Indebtedness, it is provided that such Indebtedness is not superior in right of payment to the Securities, and (b) any modifications, refunding, deferrals, renewals or extensions of any such Indebtedness or securities, notes or other evidence of Indebtedness issued in exchange for such Indebtedness; provided that in no event shall “Senior Indebtedness” include (i) Indebtedness of the Issuer owed or owing to any Subsidiary of the Issuer or any officer, director or employee of the Issuer or any Subsidiary of the Issuer, (ii) Indebtedness to trade creditors or (iii) any liability for taxes owned or owing by the Issuer.</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or other business entity of which more than 50% of all votes represented by all classes of outstanding Voting Stock is owned, directly or indirectly, by such Person and one or more other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identified as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in the first paragraph hereof and, subject to the provisions of Article 5, shall also include any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 of 1939</w:t>
      </w:r>
      <w:r>
        <w:rPr>
          <w:rFonts w:ascii="Times New Roman;Times;Serif" w:hAnsi="Times New Roman;Times;Serif"/>
          <w:b w:val="false"/>
          <w:i w:val="false"/>
          <w:caps w:val="false"/>
          <w:smallCaps w:val="false"/>
          <w:sz w:val="20"/>
        </w:rPr>
        <w:t>” (except as otherwise provided in Section 7.01 and Section 7.02) means the Trust Indenture Act of 1939 as in force at the date as of which this Indenture was originally executed.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means the Uniform Commercial Code, as in effect in each applicable jurisdiction. “Unregistered Security” means any Security other than a Registered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Obligations</w:t>
      </w:r>
      <w:r>
        <w:rPr>
          <w:rFonts w:ascii="Times New Roman;Times;Serif" w:hAnsi="Times New Roman;Times;Serif"/>
          <w:b w:val="false"/>
          <w:i w:val="false"/>
          <w:caps w:val="false"/>
          <w:smallCaps w:val="false"/>
          <w:sz w:val="20"/>
        </w:rPr>
        <w:t>” means securities that are (i) direct obligations of the United States of America for the payment of which its full faith and credit is pledged or (ii) obligations of an agency of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means, with respect to any Person, capital stock of any class or kind ordinarily having the power to vote for the election of directors, managers or other voting members of the governing body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vice president</w:t>
      </w:r>
      <w:r>
        <w:rPr>
          <w:rFonts w:ascii="Times New Roman;Times;Serif" w:hAnsi="Times New Roman;Times;Serif"/>
          <w:b w:val="false"/>
          <w:i w:val="false"/>
          <w:caps w:val="false"/>
          <w:smallCaps w:val="false"/>
          <w:sz w:val="20"/>
        </w:rPr>
        <w:t>” when used with respect to the Issuer or the Trustee, means any vice president, whether or not designated by a number or a word or words added before or after the title of “</w:t>
      </w:r>
      <w:r>
        <w:rPr>
          <w:rFonts w:ascii="Times New Roman;Times;Serif" w:hAnsi="Times New Roman;Times;Serif"/>
          <w:b/>
          <w:i w:val="false"/>
          <w:caps w:val="false"/>
          <w:smallCaps w:val="false"/>
          <w:sz w:val="20"/>
        </w:rPr>
        <w:t>vice president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Wholly-Owned</w:t>
      </w:r>
      <w:r>
        <w:rPr>
          <w:rFonts w:ascii="Times New Roman;Times;Serif" w:hAnsi="Times New Roman;Times;Serif"/>
          <w:b w:val="false"/>
          <w:i w:val="false"/>
          <w:caps w:val="false"/>
          <w:smallCaps w:val="false"/>
          <w:sz w:val="20"/>
        </w:rPr>
        <w:t>” is defined to mean, with respect to any Subsidiary of any Person, such Subsidiary if all of the outstanding common stock or other similar equity ownership interests (but not including preferred stock) in such Subsidiary (other than any director’s qualifying shares or investments by foreign nationals mandated by applicable law) is owned directly or indirectly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Yield to Maturity</w:t>
      </w:r>
      <w:r>
        <w:rPr>
          <w:rFonts w:ascii="Times New Roman;Times;Serif" w:hAnsi="Times New Roman;Times;Serif"/>
          <w:b w:val="false"/>
          <w:i w:val="false"/>
          <w:caps w:val="false"/>
          <w:smallCaps w:val="false"/>
          <w:sz w:val="20"/>
        </w:rPr>
        <w:t>” means the yield to maturity on a series of securities, calculated at the time of issuance of such series, or, if applicable, at the most recent redetermination of interest on such series, and calculated in accordance with accepted financial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caps w:val="false"/>
          <w:smallCaps w:val="false"/>
          <w:sz w:val="20"/>
        </w:rPr>
        <w:t>Forms Generally</w:t>
      </w:r>
      <w:r>
        <w:rPr>
          <w:rFonts w:ascii="Times New Roman;Times;Serif" w:hAnsi="Times New Roman;Times;Serif"/>
          <w:b w:val="false"/>
          <w:i w:val="false"/>
          <w:caps w:val="false"/>
          <w:smallCaps w:val="false"/>
          <w:sz w:val="20"/>
        </w:rPr>
        <w:t>. The Securities of each series shall be substantially in such form (not inconsistent with this Indenture) as shall be established by or pursuant to a resolution of the Board of Directors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 The Issuer shall furnish any such legends to the Trustee in writing.</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Securities shall be printed, lithographed or engraved on steel engraved borders or may be produced in any other manner, all as determined by the officers executing such Securities, as evidenced by their execution of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caps w:val="false"/>
          <w:smallCaps w:val="false"/>
          <w:sz w:val="20"/>
        </w:rPr>
        <w:t>Form of Trustee’s Certification of Authentication</w:t>
      </w:r>
      <w:r>
        <w:rPr>
          <w:rFonts w:ascii="Times New Roman;Times;Serif" w:hAnsi="Times New Roman;Times;Serif"/>
          <w:b w:val="false"/>
          <w:i w:val="false"/>
          <w:caps w:val="false"/>
          <w:smallCaps w:val="false"/>
          <w:sz w:val="20"/>
        </w:rPr>
        <w:t>. The Trustee’s certificate of authentication on all Securities shall be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herein and referred to in the within-mentioned Indenture.</w:t>
      </w:r>
    </w:p>
    <w:p>
      <w:pPr>
        <w:pStyle w:val="TextBody"/>
        <w:bidi w:val="0"/>
        <w:spacing w:before="0" w:after="0"/>
        <w:ind w:left="0" w:right="0" w:firstLine="72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335"/>
        <w:gridCol w:w="1835"/>
        <w:gridCol w:w="75"/>
      </w:tblGrid>
      <w:tr>
        <w:trPr/>
        <w:tc>
          <w:tcPr>
            <w:tcW w:w="33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t>
            </w:r>
          </w:p>
        </w:tc>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caps w:val="false"/>
          <w:smallCaps w:val="false"/>
          <w:sz w:val="20"/>
        </w:rPr>
        <w:t>Amount Unlimited; Issuable in Series</w:t>
      </w:r>
      <w:r>
        <w:rPr>
          <w:rFonts w:ascii="Times New Roman;Times;Serif" w:hAnsi="Times New Roman;Times;Serif"/>
          <w:b w:val="false"/>
          <w:i w:val="false"/>
          <w:caps w:val="false"/>
          <w:smallCaps w:val="false"/>
          <w:sz w:val="20"/>
        </w:rPr>
        <w:t>. The aggregate Principal amount of Securities which may be authenticated and delivered under this Indenture is unlimited.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issued in one or more series. There shall be established in or pursuant to a resolution of the Board of Directors and set forth in an Officers’ Certificate, or established in one or more indentures supplemental hereto, prior to the issuance of Securities of any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title of the Securities of the series (which shall distinguish the Securities of the series from all other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Section 2.09, Section 2.11 or Section 12.03);</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Securities of the series is payable;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place or places where the Principal of and any interest on Securities of the series shall be payable (if other than as provided in Section 3.02);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price or prices at which, the period or periods within which and the terms and conditions upon which Securities of the series may be redeemed, in whole or in part, at the option of the Issuer;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obligation, if any, of the Issuer to redeem, purchase or repay Securities of the series at the option of a Holder thereof and the price or prices at which, the period or periods within which and the terms and conditions upon which Securities of the series shall be redeemed, purchased or repaid, in whole or in part, pursuant to such obligation;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obligation, if any, of the Issuer to permit the conversion of the Securities of such series into Capital Stock, and the terms and conditions upon which such conversion shall be effected (including, without limitation, the initial conversion price or rate, the conversion period and any other provision in addition to or in lieu of those set forth in this Indenture relative to such obligation);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other than denominations of $1,000 and any multiple thereof, the denominations in which Securities of the series shall be issuable;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other than the Principal amount thereof, the portion of the Principal amount of Securities of the series which shall be payable upon declaration of acceleration of the maturity thereof pursuant to Section 4.01 or provable in bankruptcy pursuant to Section 4.02;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the Securities of the series are issuable in whole or in part as one or more Registered Global Securities, the identity of the Depositary for such Registered Global Security or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other terms of the series (which terms shall not be inconsistent with the provisions of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trustees, authenticating or paying agents, transfer agents or registrar or any other agents with respect to the Securities of such series;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extent to which payments on the Securities will be subordinated to the payment of Senior Indebtedness of the Issuer.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denomination and except as may otherwise be provided in or pursuant to such resolution of the Board of Directors or in any such indenture supplemental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caps w:val="false"/>
          <w:smallCaps w:val="false"/>
          <w:sz w:val="20"/>
        </w:rPr>
        <w:t>Authentication and Delivery of Securities</w:t>
      </w:r>
      <w:r>
        <w:rPr>
          <w:rFonts w:ascii="Times New Roman;Times;Serif" w:hAnsi="Times New Roman;Times;Serif"/>
          <w:b w:val="false"/>
          <w:i w:val="false"/>
          <w:caps w:val="false"/>
          <w:smallCaps w:val="false"/>
          <w:sz w:val="20"/>
        </w:rPr>
        <w:t>.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such order to be signed by both (a) the chairman of its Board of Directors, its president or any vice president and by its treasurer, any assistant treasurer, its secretary or any assistant secretary, without any further action by the Issuer. In authenticating such Securities and accepting the additional responsibilities under this Indenture in relation to such Securities the Trustee shall receive, and (subject to Section 5.01) shall be fully protected in relying upon: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certified copy of any resolution or resolutions of the Board of Directors authorizing the action taken pursuant to the resolution or resolutions delivered under clause (b) below;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copy of any resolution or resolutions of the Board of Directors relating to such series, in each case certified by the secretary or an assistant secretary of the Issuer;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executed supplemental indenture, if any, and the documentation required to be delivered pursuant to Section 7.04;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Officers’ Certificate setting forth the form and terms of the Securities as required pursuant to Section 2.01 and Section 2.03, respectively and prepared in accordance with Section 10.05;</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Opinion of Counsel, prepared in accordance with Section 10.05, to the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the form or forms and terms of such Securities have been established by or pursuant to a resolution of the Board of Directors or by a supplemental indenture as permitted by Section 2.01 and Section 2.03 in conformity with the provisions of this Indenture;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that such Securities, when authenticated and delivered by the Trustee and issued by the Issuer in the manner and subject to any conditions specified in such Opinion of Counsel, will constitute valid and binding obligations of the Issuer enforceable against the Issuer in accordance with their terms, except to the extent that enforcement thereof may be limited by bankruptcy, insolvency, reorganization, moratorium, fraudulent conveyance or similar laws now or hereafter in effect relating to creditors’ rights generally, and general principles of equity (regardless of whether enforceability is considered in a proceeding in equity or at law).</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shall establish pursuant to Section 2.03 that the Securities of a series or a portion thereof are to be issued in the form of one or more Registered Global Securities, then the Issuer shall execute (in accordance with Section 2.05) and the Trustee shall authenticate and make available for delivery one or more Registered Global Securities that (i) shall represent and shall be denominated in an amount equal to the aggregate Principal amount of all of the Securities of such series issued in such form and not yet canceled, (ii) shall be registered in the name of the Depositary for such Registered Global Security or Securities or the nominee of such Depositary, (iii) shall be delivered by the Trustee to such Depositary or its custodian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caps w:val="false"/>
          <w:smallCaps w:val="false"/>
          <w:sz w:val="20"/>
        </w:rPr>
        <w:t>Execution of Securities</w:t>
      </w:r>
      <w:r>
        <w:rPr>
          <w:rFonts w:ascii="Times New Roman;Times;Serif" w:hAnsi="Times New Roman;Times;Serif"/>
          <w:b w:val="false"/>
          <w:i w:val="false"/>
          <w:caps w:val="false"/>
          <w:smallCaps w:val="false"/>
          <w:sz w:val="20"/>
        </w:rPr>
        <w:t>. The Securities shall be signed on behalf of the Issuer by the chairman of its Board of Directors, its president, any vice president, its treasurer or any assistant treasurer, under its corporate seal and attested by its secretary or any assistant secretary.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caps w:val="false"/>
          <w:smallCaps w:val="false"/>
          <w:sz w:val="20"/>
        </w:rPr>
        <w:t>Certificate of Authentication</w:t>
      </w:r>
      <w:r>
        <w:rPr>
          <w:rFonts w:ascii="Times New Roman;Times;Serif" w:hAnsi="Times New Roman;Times;Serif"/>
          <w:b w:val="false"/>
          <w:i w:val="false"/>
          <w:caps w:val="false"/>
          <w:smallCaps w:val="false"/>
          <w:sz w:val="20"/>
        </w:rPr>
        <w:t>. Only such Securities as shall bear thereon a certificate of authentication substantially in the form hereinbefore recited, executed by the Trustee by the manual signature of one of its authorized signatories,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caps w:val="false"/>
          <w:smallCaps w:val="false"/>
          <w:sz w:val="20"/>
        </w:rPr>
        <w:t>Denomination and Date of Securities; Payments of Interest</w:t>
      </w:r>
      <w:r>
        <w:rPr>
          <w:rFonts w:ascii="Times New Roman;Times;Serif" w:hAnsi="Times New Roman;Times;Serif"/>
          <w:b w:val="false"/>
          <w:i w:val="false"/>
          <w:caps w:val="false"/>
          <w:smallCaps w:val="false"/>
          <w:sz w:val="20"/>
        </w:rPr>
        <w:t>.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$1,000 and any multiple thereof. The Securities shall be numbered, lettered, or otherwise distinguished in such manner or in accordance with such plan as the officers of the Issuer executing the same may determine as evidenced by the execution and authentication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Security shall be dated the date of its authentication, shall bear interest, if any, from the date and shall be payable on the dates, in each case, which shall be specified as contemplated by Section 2.03.</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caps w:val="false"/>
          <w:smallCaps w:val="false"/>
          <w:sz w:val="20"/>
        </w:rPr>
        <w:t>Registration, Transfer and Exchange</w:t>
      </w:r>
      <w:r>
        <w:rPr>
          <w:rFonts w:ascii="Times New Roman;Times;Serif" w:hAnsi="Times New Roman;Times;Serif"/>
          <w:b w:val="false"/>
          <w:i w:val="false"/>
          <w:caps w:val="false"/>
          <w:smallCaps w:val="false"/>
          <w:sz w:val="20"/>
        </w:rPr>
        <w:t>.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 such form within a reasonable time. At all reasonable times such register or registers shall be open for inspection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thereof, Registered Securities of any series (other than a Registered Global Security, except as set forth below) may be exchanged for a Registered Security or Registered Securities of such series and tenor having authorized denominations and an equal aggregate Principal amount, upon surrender of such Registered Securities to be exchanged at the agency of the Issuer that shall be maintained for such purpose in accordance with Section 3.02 and upon payment, if the Issuer shall so require, of the charges hereinafter provided. If the Securities of any series are issued in both registered and unregistered form, except as otherwise established pursuant to Section 2.03, at the option of the Holder thereof, Unregistered Securities of any series may be exchanged for 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At the option of the Holder thereof, if Unregistered Securities of any series, maturity date, interest rate and Original Issue Date are issued in more than one authorized denomination, except as otherwise established pursuant to Section 2.03, such Unregistered Securities may be exchanged for Unregistered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Registered Securities of any series may not be exchanged for Unregistered Securities of such series. Whenever any Securities are so surrendered for exchange, the Issuer shall execute, and the Trustee shall authenticate and make available for delivery, the Securities which the Holder making the exchange is entitled to receive.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Registered Securities presented for registration of transfer, exchange, redemption, conversion or payment shall be duly endorsed by, or be accompanied by a written instrument or instruments of transfer in form satisfactory to the Issuer and the Trustee duly executed by, the Holder or his attorney duly authorized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require payment of a sum sufficient to cover any tax or other governmental charge that may be imposed in connection with any exchange or registration of transfer of Securities. No service charge shall be made for any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Section 2.08,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Depositary for any Registered Global Securities of any series notifies the Issuer that it is unwilling or unable to continue as Depositary for such Registered Global Securities or if at any time the Depositary for such Registered Global Securities shall no longer be eligible under applicable law, the Issuer shall appoint a successor Depositary eligible under applicable law with respect to such Registered Global Securities. If a successor Depositary eligible under applicable law for such Registered Global Securities is not appointed by the Issuer within 90 days after the Issuer receives such notice or becomes aware of such ineligibility, the Issuer will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at any time and in its sole discretion determine that any Registered Global Securities of any series shall no longer be maintained in global form. In such event, or in the event that there shall have occurred and be continuing an Event of Default with respect to a series of Securities, the Issuer will, upon the request of any Holder,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time the Registered Securities of any series are not in the form of Registered Global Securities pursuant to the preceding two paragraphs, the Issuer agrees to supply the Trustee with a reasonable supply of certificated Registered Securities without the legend required by Section 2.04 and the Trustee agrees to hold such Registered Securities in safekeeping until authenticated and delivered pursuant to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established by the Issuer pursuant to Section 2.03 with respect to any Registered Global Security, the Depositary for such Registered Global Security may surrender such Registered Global Security in exchange in whole or in part for Registered Securities of the same series and tenor in definitive registered form on such terms as are acceptable to the Issuer and such Depositary. Thereupon, the Issuer shall execute, and the Trustee shall authenticate and make available for delivery, without service 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Person specified by such Depositary new Registered Securities of the same series and tenor, of any authorized denominations as requested by such Person, in an aggregate Principal amount equal to and in exchange for such Person’s beneficial interest in the Registered Global Security;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such Depositary a new Registered Global Security in a denomination equal to the difference, if any, between the Principal amount of the surrendered Registered Global Security and the aggregate Principal amount of Registered Securities authenticated and delivered pursuant to clause (i) above.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Securities issued in exchange for a Registered Global Security pursuant to this Section 2.08 shall be registered in such names and in such authorized denominations as the Depositary for such Registered Global Security, pursuant to instructions from its direct or indirect participants or otherwise, shall instruct the Trustee or an agent of the Issuer or the Trustee. The Trustee or such agent shall deliver such Securities to or as directed by the Persons in whose names such Securities are so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Issuer, evidencing the same debt, and entitled to the same benefits under this Indenture, as the Securities surrendered upon such transfer or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or in the forms or terms of any Securities to the contrary, none of the Issuer, the Trustee or any agent of the Issuer or the Trustee shall be required to exchange any Unregistered Security for a Registered Security if such exchange would result in adverse Federal income tax consequences to the Issuer (such as, for example, the inability of the Issuer to deduct from its income, as computed for Federal income tax purposes, the interest payable on the Unregistered Securities) under then applicable United States Federal income tax laws. The Trustee and any such agent shall be entitled to rely on an Officers’ Certificate or an Opinion of Counsel in determining such result.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Registrar nor the Issuer shall be required (i) to issue, authenticate, register the transfer of or exchange Securities of any series for a period of 15 days before the mailing of a notice of redemption of such Securities to be redeemed or (ii) to register the transfer of or exchange any Security selected for redemption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caps w:val="false"/>
          <w:smallCaps w:val="false"/>
          <w:sz w:val="20"/>
        </w:rPr>
        <w:t>Mutilated, Defaced, Destroyed, Lost and Stolen Securities</w:t>
      </w:r>
      <w:r>
        <w:rPr>
          <w:rFonts w:ascii="Times New Roman;Times;Serif" w:hAnsi="Times New Roman;Times;Serif"/>
          <w:b w:val="false"/>
          <w:i w:val="false"/>
          <w:caps w:val="false"/>
          <w:smallCaps w:val="false"/>
          <w:sz w:val="20"/>
        </w:rPr>
        <w:t>. In case any temporary or definitive Security shall become mutilated or defaced and shall be surrendered to the Trustee, the Issuer shall execute, and the Trustee shall authenticate and deliver, a new Security of the same series, bearing a number not contemporaneously outstanding, in exchange and substitution for the mutilated or defaced Security. If the Holder of any Security claims that the Security has been lost, destroyed or wrongfully taken, the Issuer shall execute, and the Trustee shall authenticate and deliver, a new Security of the same series, bearing a number not contemporaneously outstanding, in exchange and substitution for the lost, destroyed or wrongfully taken Security, if the applicant so requests before the Issuer has notice that the Security has been acquired by a protected purchaser, and the applicant furnishes to the Issuer and to the Trustee and any agent of the Issuer or the Trustee such security or indemnity as may be required by them to indemnify and defend and to save each of them harmless and the applicant satisfies other reasonable requirements imposed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substitute Security, the Issuer may require the payment of a sum sufficient to cover any tax or other governmental charge that may be imposed in relation thereto and any other expenses (including the fees and expenses of the Trustee and its counsel)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to the Trustee and any agent of the Issuer or the Trustee such security or taking, the applicant shall also furnish to the Issuer and the Trustee and any agent of the Issuer or the Trustee evidence to their satisfaction of the destruction, loss or wrongful taking of such Security and of the ownership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substitute Security of any series issued pursuant to the provisions of this section by virtue of the fact that any such Security is destroyed, lost or stolen shall constitute an additional contractual obligation of the Issuer, whether or not the destroyed, lost or wrongfully taken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wrongfully taken Securities and shall preclude any and all other rights or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caps w:val="false"/>
          <w:smallCaps w:val="false"/>
          <w:sz w:val="20"/>
        </w:rPr>
        <w:t>Cancellation of Securities; Destruction Thereof</w:t>
      </w:r>
      <w:r>
        <w:rPr>
          <w:rFonts w:ascii="Times New Roman;Times;Serif" w:hAnsi="Times New Roman;Times;Serif"/>
          <w:b w:val="false"/>
          <w:i w:val="false"/>
          <w:caps w:val="false"/>
          <w:smallCaps w:val="false"/>
          <w:sz w:val="20"/>
        </w:rPr>
        <w:t>. All Securities surrendered for payment, redemption, repurchase, conversion, registration of transfer or exchange, if surrendered to the Issuer or any agent of the Issuer or the Trustee, shall be delivered to the Trustee for cancellation or, if surrendered to the Trustee, shall be canceled by it; and no Securities shall be issued in lieu thereof except as expressly permitted by any of the provisions of this Indenture. The Trustee shall dispose of canceled Securities held by it in accordance with the record retention policies of the Trustee in effect from time to time and, if such canceled certificates are destroyed, shall deliver a certificate of destruction to the Issuer. If the Issuer shall acquire any of the Securities,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caps w:val="false"/>
          <w:smallCaps w:val="false"/>
          <w:sz w:val="20"/>
        </w:rPr>
        <w:t>Temporary Securities</w:t>
      </w:r>
      <w:r>
        <w:rPr>
          <w:rFonts w:ascii="Times New Roman;Times;Serif" w:hAnsi="Times New Roman;Times;Serif"/>
          <w:b w:val="false"/>
          <w:i w:val="false"/>
          <w:caps w:val="false"/>
          <w:smallCaps w:val="false"/>
          <w:sz w:val="20"/>
        </w:rPr>
        <w:t>.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caps w:val="false"/>
          <w:smallCaps w:val="false"/>
          <w:sz w:val="20"/>
        </w:rPr>
        <w:t>Computation of Interest</w:t>
      </w:r>
      <w:r>
        <w:rPr>
          <w:rFonts w:ascii="Times New Roman;Times;Serif" w:hAnsi="Times New Roman;Times;Serif"/>
          <w:b w:val="false"/>
          <w:i w:val="false"/>
          <w:caps w:val="false"/>
          <w:smallCaps w:val="false"/>
          <w:sz w:val="20"/>
        </w:rPr>
        <w:t>. Except as otherwise specified in the Securities of a series, interest shall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caps w:val="false"/>
          <w:smallCaps w:val="false"/>
          <w:sz w:val="20"/>
        </w:rPr>
        <w:t>CUSIP Numbers</w:t>
      </w:r>
      <w:r>
        <w:rPr>
          <w:rFonts w:ascii="Times New Roman;Times;Serif" w:hAnsi="Times New Roman;Times;Serif"/>
          <w:b w:val="false"/>
          <w:i w:val="false"/>
          <w:caps w:val="false"/>
          <w:smallCaps w:val="false"/>
          <w:sz w:val="20"/>
        </w:rPr>
        <w:t>. The Issuer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notify the Trustee of any change in the “CUSIP” numbers.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THE ISSUER AND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caps w:val="false"/>
          <w:smallCaps w:val="false"/>
          <w:sz w:val="20"/>
        </w:rPr>
        <w:t>Payment of Principal and Interest</w:t>
      </w:r>
      <w:r>
        <w:rPr>
          <w:rFonts w:ascii="Times New Roman;Times;Serif" w:hAnsi="Times New Roman;Times;Serif"/>
          <w:b w:val="false"/>
          <w:i w:val="false"/>
          <w:caps w:val="false"/>
          <w:smallCaps w:val="false"/>
          <w:sz w:val="20"/>
        </w:rPr>
        <w:t>. The Issuer covenants and agrees for the benefit of each series of Securities that it will duly and punctually pay or cause to be paid the Principal of, and interest on, each of the Securities of such series at the place or places, at the respective times and in the manner provided in such Securities. Each installment of interest on the Securities of any series may be paid by mailing checks for such interest payable to or upon the written order of the Holders of Securities entitled thereto as they shall appear on the registry books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provisions of this Indenture and the Securities of any series to the contrary, if the Issuer and a Holder of any Registered Security so agree or if expressly provided pursuant to Section 2.03, payments of interest on, and any portion of the Principal of, such Holder’s Registered Security shall be made by the paying agent, upon receipt from the Issuer of immediately available funds by 11:00 a.m., New York City time (or such other time as may be agreed to between the Issuer and the paying agent) or the Issuer, directly to the Holder of such Security (by wire transfer of Federal funds or immediately available funds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The Trustee shall be entitled to rely on the last instruction delivered by the Holder pursuant to this Section 3.01 unless a new instruction is delivered 15 days prior to a payment date. The Issuer will indemnify and hold each of the Trustee and any paying agent harmless against any loss, liability or expense (including attorneys’ fees and expenses) resulting from any act or omission to act on the part of the Issuer or any such Holder in connection with any such agreement or from making any payment in accordance with any such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caps w:val="false"/>
          <w:smallCaps w:val="false"/>
          <w:sz w:val="20"/>
        </w:rPr>
        <w:t>Offices for Payments, etc</w:t>
      </w:r>
      <w:r>
        <w:rPr>
          <w:rFonts w:ascii="Times New Roman;Times;Serif" w:hAnsi="Times New Roman;Times;Serif"/>
          <w:b w:val="false"/>
          <w:i w:val="false"/>
          <w:caps w:val="false"/>
          <w:smallCaps w:val="false"/>
          <w:sz w:val="20"/>
        </w:rPr>
        <w:t>. So long as any of the Securities remain outstanding, the Issuer will maintain in the Borough of Manhattan, The City of New York an office or agency (o) where the Securities may be presented for payment, (p) where the Securities may be presented for registration of transfer and for exchange as in this Indenture provided, (q) where notices and demands to or upon the Issuer in respect of the Securities or of this Indenture may be served and (r) for Securities of each series that is convertible, where such Securities may be presented for conversion. The Issuer will give to the Trustee written notice of the location of any such office or agency and of any change of location thereof. Unless otherwise specified in accordance with Section 2.03, the Issuer hereby initially designates the Corporate Trust Office of Trustee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caps w:val="false"/>
          <w:smallCaps w:val="false"/>
          <w:sz w:val="20"/>
        </w:rPr>
        <w:t>Paying Agents</w:t>
      </w:r>
      <w:r>
        <w:rPr>
          <w:rFonts w:ascii="Times New Roman;Times;Serif" w:hAnsi="Times New Roman;Times;Serif"/>
          <w:b w:val="false"/>
          <w:i w:val="false"/>
          <w:caps w:val="false"/>
          <w:smallCaps w:val="false"/>
          <w:sz w:val="20"/>
        </w:rPr>
        <w:t>.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it will give the Trustee notice of any failure by the Issuer (or by any other obligor on the Securities of such series) to make any payment of the Principal of or interest on the Securities of such series when the same shall be due and payable; and during the continuance of the failure referred to in clause Section 3.03(b) above.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Issuer shall have one or more paying agents for any series of Securities, it will, on or before each due date of the Principal of or interest on any Securities of such series, deposit with the paying agent or agents for the Securities of such series a sum, by 11:00 a.m. New York City time in immediately available funds on the payment date, sufficient to pay the Principal or interest so becoming due with respect to the Securities of such series, and (unless such paying agent is the Trustee) the Issuer will promptly notify the Trustee in writing of any failure so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Section 3.03 to the contrary notwithstanding, the agreement to hold sums in trust as provided in this Section 3.03 is subject to the provisions of Section 9.05.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caps w:val="false"/>
          <w:smallCaps w:val="false"/>
          <w:sz w:val="20"/>
        </w:rPr>
        <w:t>Certificate of the Issuer</w:t>
      </w:r>
      <w:r>
        <w:rPr>
          <w:rFonts w:ascii="Times New Roman;Times;Serif" w:hAnsi="Times New Roman;Times;Serif"/>
          <w:b w:val="false"/>
          <w:i w:val="false"/>
          <w:caps w:val="false"/>
          <w:smallCaps w:val="false"/>
          <w:sz w:val="20"/>
        </w:rPr>
        <w:t>. Within 120 days after the close of the fiscal year ended ●, and within 120 days after the close of each fiscal year thereafter, the Issuer will furnish to the Trustee a brief certificate (which need not comply with Section 10.05) from the principal executive, financial or accounting officer of the Issuer as to his or her knowledge of the Issuer’s compliance with all conditions and covenants under the Indenture (such compliance to be determined without regard to any period of grace or requirement of notice provided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such certificate is filed, the Issuer will also file with the Trustee a letter or statement of the independent accountants who shall have certified the financial statements of the Issuer for its preceding fiscal year to the effect that, in making the examination necessary for certification of such financial statements, they have obtained no knowledge of any default by the Issuer in the performance or fulfillment of any covenant, agreement or condition contained in this Indenture, which default remains uncured at the date of such letter or statement, or, if they shall have obtained knowledge of any such uncured default, specifying in such letter or statement such default or defaults and the nature and status thereof, it being understood that such accountants shall not be liable directly or indirectly for failure to obtain knowledge of any such default or defaults, and that nothing contained in this Section 3.04 shall be construed to require such accountants to make any investigation beyond the scope required in connection with such examination.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caps w:val="false"/>
          <w:smallCaps w:val="false"/>
          <w:sz w:val="20"/>
        </w:rPr>
        <w:t>List of Securityholders</w:t>
      </w:r>
      <w:r>
        <w:rPr>
          <w:rFonts w:ascii="Times New Roman;Times;Serif" w:hAnsi="Times New Roman;Times;Serif"/>
          <w:b w:val="false"/>
          <w:i w:val="false"/>
          <w:caps w:val="false"/>
          <w:smallCaps w:val="false"/>
          <w:sz w:val="20"/>
        </w:rPr>
        <w:t>.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10 days after each record date for the payment of interest on such Securities, as hereinabove specified, as of such record date and on dates to be determined pursuant to Section 2.03 for non-interest bearing Securities in each year and (b) at such other times as the Trustee may request in writing, within 30 days after receipt by the Issuer of any such request as of a date not more than 10 days prior to the time such information is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caps w:val="false"/>
          <w:smallCaps w:val="false"/>
          <w:sz w:val="20"/>
        </w:rPr>
        <w:t>Reports by the Issuer</w:t>
      </w:r>
      <w:r>
        <w:rPr>
          <w:rFonts w:ascii="Times New Roman;Times;Serif" w:hAnsi="Times New Roman;Times;Serif"/>
          <w:b w:val="false"/>
          <w:i w:val="false"/>
          <w:caps w:val="false"/>
          <w:smallCaps w:val="false"/>
          <w:sz w:val="20"/>
        </w:rPr>
        <w:t>. The Issuer covenants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file, whether or not required to do so under applicable law, with the Trustee, within 15 days after the Issuer files the same with the Commission: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copies of the annual reports and of the information, documents, and other reports which the Issuer files with the Commission pursuant to Section 13 or Section 15(d) of the Securities Exchange Act of 1934;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additional information, documents and reports with respect to compliance by the Issuer with the conditions and covenants provided for in this Indenture as the Issuer may from time to time file with the Commission;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transmit to the Securityholders, in the manner and to the extent provided in Section 10.04, such summaries of any information, documents and reports required to be filed with the Trustee pursuant to the provisions of subdivision (a) of this Section 3.06 as may be required by the rules and regulations of the Commission.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3.07 </w:t>
      </w:r>
      <w:r>
        <w:rPr>
          <w:rFonts w:ascii="Times New Roman;Times;Serif" w:hAnsi="Times New Roman;Times;Serif"/>
          <w:b w:val="false"/>
          <w:i/>
          <w:caps w:val="false"/>
          <w:smallCaps w:val="false"/>
          <w:sz w:val="20"/>
        </w:rPr>
        <w:t>Corporate Existence</w:t>
      </w:r>
      <w:r>
        <w:rPr>
          <w:rFonts w:ascii="Times New Roman;Times;Serif" w:hAnsi="Times New Roman;Times;Serif"/>
          <w:b w:val="false"/>
          <w:i w:val="false"/>
          <w:caps w:val="false"/>
          <w:smallCaps w:val="false"/>
          <w:sz w:val="20"/>
        </w:rPr>
        <w:t>. So long as any of the Securities remain unpaid, the Issuer will at all times (except as otherwise provided or permitted elsewhere in this Indenture) do or cause to be done all things necessary to preserve and keep in full force and effect its corporate existence.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3.08 </w:t>
      </w:r>
      <w:r>
        <w:rPr>
          <w:rFonts w:ascii="Times New Roman;Times;Serif" w:hAnsi="Times New Roman;Times;Serif"/>
          <w:b w:val="false"/>
          <w:i/>
          <w:caps w:val="false"/>
          <w:smallCaps w:val="false"/>
          <w:sz w:val="20"/>
        </w:rPr>
        <w:t>Restrictions on Mergers, Sales and Consolidations</w:t>
      </w:r>
      <w:r>
        <w:rPr>
          <w:rFonts w:ascii="Times New Roman;Times;Serif" w:hAnsi="Times New Roman;Times;Serif"/>
          <w:b w:val="false"/>
          <w:i w:val="false"/>
          <w:caps w:val="false"/>
          <w:smallCaps w:val="false"/>
          <w:sz w:val="20"/>
        </w:rPr>
        <w:t>. So long as any of the Securities remain unpaid, the Issuer will not consolidate or merge with or sell, convey or lease all or substantially all of its property to any other corporation except as permitted in Article 8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3.09 </w:t>
      </w:r>
      <w:r>
        <w:rPr>
          <w:rFonts w:ascii="Times New Roman;Times;Serif" w:hAnsi="Times New Roman;Times;Serif"/>
          <w:b w:val="false"/>
          <w:i/>
          <w:caps w:val="false"/>
          <w:smallCaps w:val="false"/>
          <w:sz w:val="20"/>
        </w:rPr>
        <w:t>Further Assurances</w:t>
      </w:r>
      <w:r>
        <w:rPr>
          <w:rFonts w:ascii="Times New Roman;Times;Serif" w:hAnsi="Times New Roman;Times;Serif"/>
          <w:b w:val="false"/>
          <w:i w:val="false"/>
          <w:caps w:val="false"/>
          <w:smallCaps w:val="false"/>
          <w:sz w:val="20"/>
        </w:rPr>
        <w:t>. From time to time whenever requested by the Trustee, the Issuer will execute and deliver such further instruments and assurances and do such further acts as may be reasonably necessary or proper to carry out more effectually the purposes of this Indenture or to secure the rights and remedies hereunder of the Holders of the Securities of any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 OF THE TRUSTEE AND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EVENT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caps w:val="false"/>
          <w:smallCaps w:val="false"/>
          <w:sz w:val="20"/>
        </w:rPr>
        <w:t>Event of Default Defined; Acceleration of Maturity; Waiver of Default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by the Issuer in the payment of any installment of interest upon any of the Securities of such series as and when the same shall become due and payable, and continuance of such default for a period of 30 days;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by the Issuer in the payment of all or any part of the Principal on any of the Securities of such series as and when the same shall become due and payable either at maturity, upon redemption, by declaration or otherwise, and continuance of such default for a period of five days;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by the Issuer in the performance, or breach by the Issuer, of any of its covenants or agreements in respect of the Securities of such series (other than a covenant or agreement in respect of the Securities of such series a default in whose performance or whose breach is elsewhere in this section specifically dealt with), and continuance of such default or breach for a period of 30 consecutive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notice of default 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entry by a court having jurisdiction in the premises of a decree or order for relief in respect of the Issuer in an involuntary case under any applicable bankruptcy, insolvency or other similar law now or hereafter in effect, or the appointment of a receiver, liquidator, assignee, custodian, trustee or sequestrator (or similar official) of the Issuer or for any substantial part of the Issuer’s property and assets or the ordering of the winding up or liquidation of the Issuer’s affairs, and the continuance of any such decree or order unstayed and in effect for a period of 90 consecutive days;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commencement by the Issuer of a voluntary case under any applicable bankruptcy, insolvency or other similar law now or hereafter in effect, or the consent by the Issuer to the entry of an order for relief in an involuntary case under any such law, or the consent by the Issuer to the appointment of or taking possession by a receiver, liquidator, assignee, custodian, trustee or sequestrator (or similar official) of the Issuer or for any substantial part of the Issuer’s property, or the making of any general assignment by the Issuer for the benefit of creditors;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Event of Default provided in the supplemental indenture or resolution of the Board of Directors under which such series of Securities is issued or in the form of Security for such series.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described in clauses 4.01(a), 4.01(b), 4.01(c) or 4.01(f) occurs and is continuing, then, and in each and every such case, unless the Principal of all of the Securities of such series shall have already become due and payable, either the Trustee or the Holders of not less than 25% in aggregate Principal amount of the Securities of any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Section 4.01(d) or Section 4.01(e) occurs and is continuing, then the Principal amount of all the Securities then Outstanding and interest accrued thereon, if any, shall be and become immediately due and payable, without any notice or other action by any Holder or the Trustee, to the full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monies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each such series voting as a separate class,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caps w:val="false"/>
          <w:smallCaps w:val="false"/>
          <w:sz w:val="20"/>
        </w:rPr>
        <w:t>Collection of Indebtedness by Trustee; Trustee May Prove Debt</w:t>
      </w:r>
      <w:r>
        <w:rPr>
          <w:rFonts w:ascii="Times New Roman;Times;Serif" w:hAnsi="Times New Roman;Times;Serif"/>
          <w:b w:val="false"/>
          <w:i w:val="false"/>
          <w:caps w:val="false"/>
          <w:smallCaps w:val="false"/>
          <w:sz w:val="20"/>
        </w:rPr>
        <w:t>. The Issuer covenants that (h) in case default shall be made in the payment of any installment of interest on any of the Securities of any series when such interest shall have become due and payable, and such default shall have continued for a period of 30 days or (i)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in each case upon demand of the Trustee, the Issuer will pay to the Trustee for the benefit of the Holders of the Securities of such series (x)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(y) in addition thereto, such further amount as shall be sufficient to cover the costs and expenses of collection, including reasonable compensation to the Trustee and each predecessor Trustee, their respective agents and counsel, and any expenses and liabilities incurred, and all advances made, by the Trustee and each predecessor Trustee except as a result of its negligence or bad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demand is made by the Trustee, the Issuer may pay the Principal of and interest on the Securities of any series to the registered Holders, whether or not the Principal of and interest on the Securities of such series be overdue.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monies adjudged or decreed to be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collect and receive any monies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5.06.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caps w:val="false"/>
          <w:smallCaps w:val="false"/>
          <w:sz w:val="20"/>
        </w:rPr>
        <w:t>Application of Proceeds</w:t>
      </w:r>
      <w:r>
        <w:rPr>
          <w:rFonts w:ascii="Times New Roman;Times;Serif" w:hAnsi="Times New Roman;Times;Serif"/>
          <w:b w:val="false"/>
          <w:i w:val="false"/>
          <w:caps w:val="false"/>
          <w:smallCaps w:val="false"/>
          <w:sz w:val="20"/>
        </w:rPr>
        <w:t>. Any monies collected by the Trustee pursuant to this Article in respect of any series shall be applied in the following order at the date or dates fixed by the Trustee and, in case of the distribution of such monies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costs and expenses applicable to such series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 and all other amounts due to the Trustee or any predecessor Trustee pursuant to Section 5.06;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In case the Principal of the Securities of such series in respect of which monies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In case the Principal of the Securities of such series in respect of which monies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monies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payment of the remainder, if any, to the Issuer or any other person lawfully entitled thereto.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caps w:val="false"/>
          <w:smallCaps w:val="false"/>
          <w:sz w:val="20"/>
        </w:rPr>
        <w:t xml:space="preserve">Suits for Enforcement. </w:t>
      </w:r>
      <w:r>
        <w:rPr>
          <w:rFonts w:ascii="Times New Roman;Times;Serif" w:hAnsi="Times New Roman;Times;Serif"/>
          <w:b w:val="false"/>
          <w:i w:val="false"/>
          <w:caps w:val="false"/>
          <w:smallCaps w:val="false"/>
          <w:sz w:val="20"/>
        </w:rPr>
        <w:t>In case an Event of Default has occurred, has not been waived and is continuing, the Trustee may proceed to protect and enforce the rights vested in it by this Indenture,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caps w:val="false"/>
          <w:smallCaps w:val="false"/>
          <w:sz w:val="20"/>
        </w:rPr>
        <w:t>Restoration of Rights on Abandonment of Proceedings</w:t>
      </w:r>
      <w:r>
        <w:rPr>
          <w:rFonts w:ascii="Times New Roman;Times;Serif" w:hAnsi="Times New Roman;Times;Serif"/>
          <w:b w:val="false"/>
          <w:i w:val="false"/>
          <w:caps w:val="false"/>
          <w:smallCaps w:val="false"/>
          <w:sz w:val="20"/>
        </w:rPr>
        <w:t>.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caps w:val="false"/>
          <w:smallCaps w:val="false"/>
          <w:sz w:val="20"/>
        </w:rPr>
        <w:t>Limitations on Suits by Securityholder</w:t>
      </w:r>
      <w:r>
        <w:rPr>
          <w:rFonts w:ascii="Times New Roman;Times;Serif" w:hAnsi="Times New Roman;Times;Serif"/>
          <w:b w:val="false"/>
          <w:i w:val="false"/>
          <w:caps w:val="false"/>
          <w:smallCaps w:val="false"/>
          <w:sz w:val="20"/>
        </w:rPr>
        <w:t>.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an Event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respect of such Event of Default in its own name as trustee hereunder and shall have offered to the Trustee indemnity satisfactory to the Trustee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caps w:val="false"/>
          <w:smallCaps w:val="false"/>
          <w:sz w:val="20"/>
        </w:rPr>
        <w:t>Unconditional Right of Securityholders to Institute Certain Suits</w:t>
      </w:r>
      <w:r>
        <w:rPr>
          <w:rFonts w:ascii="Times New Roman;Times;Serif" w:hAnsi="Times New Roman;Times;Serif"/>
          <w:b w:val="false"/>
          <w:i w:val="false"/>
          <w:caps w:val="false"/>
          <w:smallCaps w:val="false"/>
          <w:sz w:val="20"/>
        </w:rPr>
        <w:t>. Notwithstanding any other provision in this Indenture and any provision of any Security, the right of any Holder of any Security to receive payment of the Principal of or interest on such Security on or after the respective due dates expressed in such Security, or to institute suit for the enforcement of any such payment on or after such respective dates, shall not be impaired or affected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caps w:val="false"/>
          <w:smallCaps w:val="false"/>
          <w:sz w:val="20"/>
        </w:rPr>
        <w:t>Powers and Remedies Cumulative; Delay or Omission Not Waiver of Default</w:t>
      </w:r>
      <w:r>
        <w:rPr>
          <w:rFonts w:ascii="Times New Roman;Times;Serif" w:hAnsi="Times New Roman;Times;Serif"/>
          <w:b w:val="false"/>
          <w:i w:val="false"/>
          <w:caps w:val="false"/>
          <w:smallCaps w:val="false"/>
          <w:sz w:val="20"/>
        </w:rPr>
        <w:t>. Except as provided in Section 4.06,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this Indenture or by law to the Trustee or to the Securityholders may be exercised from time to time, and as often as shall be deemed expedient, by the Trustee or by the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caps w:val="false"/>
          <w:smallCaps w:val="false"/>
          <w:sz w:val="20"/>
        </w:rPr>
        <w:t>Control by Securityholders</w:t>
      </w:r>
      <w:r>
        <w:rPr>
          <w:rFonts w:ascii="Times New Roman;Times;Serif" w:hAnsi="Times New Roman;Times;Serif"/>
          <w:b w:val="false"/>
          <w:i w:val="false"/>
          <w:caps w:val="false"/>
          <w:smallCaps w:val="false"/>
          <w:sz w:val="20"/>
        </w:rPr>
        <w:t>.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5.01)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subject the Trustee to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shall impair the right of the Trustee to take any action which is not inconsistent with such direction or directions by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caps w:val="false"/>
          <w:smallCaps w:val="false"/>
          <w:sz w:val="20"/>
        </w:rPr>
        <w:t>Waiver of Past Defaults</w:t>
      </w:r>
      <w:r>
        <w:rPr>
          <w:rFonts w:ascii="Times New Roman;Times;Serif" w:hAnsi="Times New Roman;Times;Serif"/>
          <w:b w:val="false"/>
          <w:i w:val="false"/>
          <w:caps w:val="false"/>
          <w:smallCaps w:val="false"/>
          <w:sz w:val="20"/>
        </w:rPr>
        <w:t>. Prior to a declaration of the acceleration of the maturity of the Securities of any series as provided in Section 4.01, the Holders of a majority in aggregate Principal amount of the Securities of such series at the time Outstanding (each such series voting as a separate class) may on behalf of the Holders of all the Securities of such series waive an existing default or Event of Default, except a default in the payment of Principal of or interest on any Security as specified in clauses (a) or (b) of Section 4.01 or in respect of a covenant or provision hereof which cannot be modified or amended without the consent of each Holder affected as provided in Section 7.02. In the case of any such waiver, the Issuer, the Trustee and the Holders of the Securities of each series affected shall be restored to their former positions and rights hereunder,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caps w:val="false"/>
          <w:smallCaps w:val="false"/>
          <w:sz w:val="20"/>
        </w:rPr>
        <w:t>Trustee to Give Notice of Default, But May Withhold in Certain Circumstances</w:t>
      </w:r>
      <w:r>
        <w:rPr>
          <w:rFonts w:ascii="Times New Roman;Times;Serif" w:hAnsi="Times New Roman;Times;Serif"/>
          <w:b w:val="false"/>
          <w:i w:val="false"/>
          <w:caps w:val="false"/>
          <w:smallCaps w:val="false"/>
          <w:sz w:val="20"/>
        </w:rPr>
        <w:t>. The Trustee shall give to the Securityholders of any series, as the names and addresses of such Holders appear on the registry books, notice by mail of all defaults known to Responsible Officers of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caps w:val="false"/>
          <w:smallCaps w:val="false"/>
          <w:sz w:val="20"/>
        </w:rPr>
        <w:t>Right of Court to Require Filing of Undertaking to Pay Costs</w:t>
      </w:r>
      <w:r>
        <w:rPr>
          <w:rFonts w:ascii="Times New Roman;Times;Serif" w:hAnsi="Times New Roman;Times;Serif"/>
          <w:b w:val="false"/>
          <w:i w:val="false"/>
          <w:caps w:val="false"/>
          <w:smallCaps w:val="false"/>
          <w:sz w:val="20"/>
        </w:rPr>
        <w:t xml:space="preserve">.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provisions of this Section 4.12 shall not apply to (i) any suit instituted by the Trustee, (ii) any suit instituted by any Securityholder or group of Securityholders of any series holding in the aggregate more than 10% in aggregate Principal amount of the Securities of such series or (iii) any suit instituted by a Holder pursuant to Section 4.07.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caps w:val="false"/>
          <w:smallCaps w:val="false"/>
          <w:sz w:val="20"/>
        </w:rPr>
        <w:t>Duties and Responsibilities of the Trustee</w:t>
      </w:r>
      <w:r>
        <w:rPr>
          <w:rFonts w:ascii="Times New Roman;Times;Serif" w:hAnsi="Times New Roman;Times;Serif"/>
          <w:b w:val="false"/>
          <w:i w:val="false"/>
          <w:caps w:val="false"/>
          <w:smallCaps w:val="false"/>
          <w:sz w:val="20"/>
        </w:rPr>
        <w: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occurrence of an Event of Default with respect to the Securities of any series and after the curing or waiving of all such Events of Default with respect to such series which may have occurred: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subsection (b) shall not be construed to limit the effect of subsection (a) of this Section 5.01;</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or Responsible Officers of the Trustee, unless it shall be proved that the Trustee was negligent in ascertaining the pertinent facts;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suffered or omitted to be taken by it in good faith in accordance with the direction of the Holders relating to the time, method and place of conducting any proceeding for any remedy available to the Trustee, or exercising any trust or power conferred upon the Trustee, under this Indenture.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5.01 are in furtherance of and subject to Sections 315 and 316 of the Trust Indenture Act of 1939.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therein expressly provided, every provision of this Indenture relating to the conduct of, affecting the liability of or affording protection to the Trustee shall be subject to the provisions of this Section 5.01.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caps w:val="false"/>
          <w:smallCaps w:val="false"/>
          <w:sz w:val="20"/>
        </w:rPr>
        <w:t>Certain Rights of the Trustee</w:t>
      </w:r>
      <w:r>
        <w:rPr>
          <w:rFonts w:ascii="Times New Roman;Times;Serif" w:hAnsi="Times New Roman;Times;Serif"/>
          <w:b w:val="false"/>
          <w:i w:val="false"/>
          <w:caps w:val="false"/>
          <w:smallCaps w:val="false"/>
          <w:sz w:val="20"/>
        </w:rPr>
        <w:t>. In furtherance of and subject to the Trust Indenture Act of 1939, and subject to Section 5.01: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absence of bad faith on its part, the Trustee may conclusively rely and shall be protected in acting or refraining from acting upon any resolution, Officers’ Certificate or any other certificate, statement, instrument, opinion, report, notice, request, direction, consent, order, bond, debenture, note, coupon, security or other paper or document believed by it to be genuine and to have been signed or presented by the proper party or parties;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by it in connection with such request, order or direction;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for any action taken or omitted by it in good faith and believed by it to be authorized or within the discretion, rights or powers conferred upon it by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it against such expenses or liabilities as a condition to proceeding, and the reasonable expenses of every such investigation shall be paid by the Issuer or, if paid by the Trustee or any predecessor trustee, shall be repaid by the Issuer upon demand;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liable for any action taken, suffered or omitted in good faith and believed by it to be authorized or within the discretion, rights or powers conferred upon it by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caps w:val="false"/>
          <w:smallCaps w:val="false"/>
          <w:sz w:val="20"/>
        </w:rPr>
        <w:t>Trustee Not Responsible for Recitals, Disposition of Securities or Application of Proceeds Thereof</w:t>
      </w:r>
      <w:r>
        <w:rPr>
          <w:rFonts w:ascii="Times New Roman;Times;Serif" w:hAnsi="Times New Roman;Times;Serif"/>
          <w:b w:val="false"/>
          <w:i w:val="false"/>
          <w:caps w:val="false"/>
          <w:smallCaps w:val="false"/>
          <w:sz w:val="20"/>
        </w:rPr>
        <w:t>.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the Securities. The Trustee shall not be accountable for the use or application by the Issuer of any of the Securities or of the proceeds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caps w:val="false"/>
          <w:smallCaps w:val="false"/>
          <w:sz w:val="20"/>
        </w:rPr>
        <w:t>Trustee and Agents May Hold Securities; Collections, etc</w:t>
      </w:r>
      <w:r>
        <w:rPr>
          <w:rFonts w:ascii="Times New Roman;Times;Serif" w:hAnsi="Times New Roman;Times;Serif"/>
          <w:b w:val="false"/>
          <w:i w:val="false"/>
          <w:caps w:val="false"/>
          <w:smallCaps w:val="false"/>
          <w:sz w:val="20"/>
        </w:rPr>
        <w:t>.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caps w:val="false"/>
          <w:smallCaps w:val="false"/>
          <w:sz w:val="20"/>
        </w:rPr>
        <w:t>Monies Held by Trustee</w:t>
      </w:r>
      <w:r>
        <w:rPr>
          <w:rFonts w:ascii="Times New Roman;Times;Serif" w:hAnsi="Times New Roman;Times;Serif"/>
          <w:b w:val="false"/>
          <w:i w:val="false"/>
          <w:caps w:val="false"/>
          <w:smallCaps w:val="false"/>
          <w:sz w:val="20"/>
        </w:rPr>
        <w:t>. All monies received by the Trustee in trust hereunder need not be segregated from other funds except to the extent required by mandatory provisions of law. Neither the Trustee nor any agent of the Issuer or the Trustee shall be under any liability for interest on any monies received by 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caps w:val="false"/>
          <w:smallCaps w:val="false"/>
          <w:sz w:val="20"/>
        </w:rPr>
        <w:t>Compensation and Indemnification of Trustee and Its Prior Claim</w:t>
      </w:r>
      <w:r>
        <w:rPr>
          <w:rFonts w:ascii="Times New Roman;Times;Serif" w:hAnsi="Times New Roman;Times;Serif"/>
          <w:b w:val="false"/>
          <w:i w:val="false"/>
          <w:caps w:val="false"/>
          <w:smallCaps w:val="false"/>
          <w:sz w:val="20"/>
        </w:rPr>
        <w:t>. The Issuer covenants and agrees to pay to the Trustee from time to time, and the Trustee shall be entitled to, such compensation as shall be agreed in writing from time to time by the Issuer and the Trustee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may arise from its negligence or bad faith. The Issuer also covenants and agrees to indemnify the Trustee and each predecessor Trustee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(whether asserted by the Issuer, a Holder or any other Person) in the premises, except to the extent such loss, liability or expense is due to the negligence or bad faith of the Trustee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resignation or removal of the Trustee. Such additional indebtedness shall be a senior claim and lien to that of the Securities upon all property and funds held or collected by the Trustee as such, except funds held in trust for the benefit of the Holders of particular Securities, and the Securities are hereby subordinated to such senior claim. The parties agree that if the Trustee renders services following an Event of Default under Section 4.01(d) or (e), compensation for such services is intended to constitute administrative expense under any bankruptcy law.</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caps w:val="false"/>
          <w:smallCaps w:val="false"/>
          <w:sz w:val="20"/>
        </w:rPr>
        <w:t>Right of Trustee to Rely on Officers’ Certificate, etc</w:t>
      </w:r>
      <w:r>
        <w:rPr>
          <w:rFonts w:ascii="Times New Roman;Times;Serif" w:hAnsi="Times New Roman;Times;Serif"/>
          <w:b w:val="false"/>
          <w:i w:val="false"/>
          <w:caps w:val="false"/>
          <w:smallCaps w:val="false"/>
          <w:sz w:val="20"/>
        </w:rPr>
        <w:t>. Subject to Section 5.01 and Section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caps w:val="false"/>
          <w:smallCaps w:val="false"/>
          <w:sz w:val="20"/>
        </w:rPr>
        <w:t>Persons Eligible for Appointment as Trustee</w:t>
      </w:r>
      <w:r>
        <w:rPr>
          <w:rFonts w:ascii="Times New Roman;Times;Serif" w:hAnsi="Times New Roman;Times;Serif"/>
          <w:b w:val="false"/>
          <w:i w:val="false"/>
          <w:caps w:val="false"/>
          <w:smallCaps w:val="false"/>
          <w:sz w:val="20"/>
        </w:rPr>
        <w:t>. The Trustee for each series of Securities hereunder shall at all times be a corporation which is eligible in accordance with the provisions of Section 310(a) of the Trust Indenture Act of 1939 and which has (or which is a Wholly-Owned Subsidiary, directly or indirectly, of a bank holding company which has) a combined capital and surplus of $50,000,000. If such corporation or holding company publishes reports of condition at least annually, pursuant to law or to the requirements of a Federal, State or District of Columbia supervising or examining authority, then for the purposes of this Section, the combined capital and surplus of such corporation or holding company shall be deemed to be its combined capital and surplus as set forth in its most recent report of condition so published.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val="false"/>
          <w:i/>
          <w:caps w:val="false"/>
          <w:smallCaps w:val="false"/>
          <w:sz w:val="20"/>
        </w:rPr>
        <w:t>Resignation and Removal; Appointment of Successor Trustee</w:t>
      </w:r>
      <w:r>
        <w:rPr>
          <w:rFonts w:ascii="Times New Roman;Times;Serif" w:hAnsi="Times New Roman;Times;Serif"/>
          <w:b w:val="false"/>
          <w:i w:val="false"/>
          <w:caps w:val="false"/>
          <w:smallCaps w:val="false"/>
          <w:sz w:val="20"/>
        </w:rPr>
        <w:t>. (a) The Trustee, or any trustee or trustees hereafter appointed, may at any time resign with respect to one or more or all series of Securities by giving written notice of resignation to the Issuer.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at the expense of the Issuer,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of the following shall occur: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cease to be eligible in accordance with the provisions of Section 310(a) of the Trust Indenture Act of 1939 and shall fail to resign after written request therefor by the Issuer or by any Securityholder; or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 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in Section 6.01 of the action in that regard taken by the Securityholders.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with respect to any series and any appointment of a successor trustee with respect to such series pursuant to any of the provisions of this Section 5.09 shall become effective upon acceptance of appointment by the successor trustee as provided in Section 5.10.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caps w:val="false"/>
          <w:smallCaps w:val="false"/>
          <w:sz w:val="20"/>
        </w:rPr>
        <w:t>Acceptance of Appointment by Successor</w:t>
      </w:r>
      <w:r>
        <w:rPr>
          <w:rFonts w:ascii="Times New Roman;Times;Serif" w:hAnsi="Times New Roman;Times;Serif"/>
          <w:b w:val="false"/>
          <w:i w:val="false"/>
          <w:caps w:val="false"/>
          <w:smallCaps w:val="false"/>
          <w:sz w:val="20"/>
        </w:rPr>
        <w:t>. Any successor Trustee appointed as provided in Section 5.09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On the written request of the Issuer or of the successor Trustee, upon payment of its charges then unpaid, the Trustee ceasing to act shall, subject to Section 5.06, pay over to the successor Trustee all monies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10 days after acceptance of appointment by the successor Trustee, the successor Trustee shall cause such notice to be mailed at the expense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caps w:val="false"/>
          <w:smallCaps w:val="false"/>
          <w:sz w:val="20"/>
        </w:rPr>
        <w:t>Merger, Conversion, Consolidation or Succession to Business of Trustee</w:t>
      </w:r>
      <w:r>
        <w:rPr>
          <w:rFonts w:ascii="Times New Roman;Times;Serif" w:hAnsi="Times New Roman;Times;Serif"/>
          <w:b w:val="false"/>
          <w:i w:val="false"/>
          <w:caps w:val="false"/>
          <w:smallCaps w:val="false"/>
          <w:sz w:val="20"/>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that such corporation shall be eligible under the provisions of Section 5.08, without the execution or filing of any paper or any further act on the part of any of the parties hereto, anything herein to the contrary notwithstanding.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caps w:val="false"/>
          <w:smallCaps w:val="false"/>
          <w:sz w:val="20"/>
        </w:rPr>
        <w:t>Reports to the Trustee</w:t>
      </w:r>
      <w:r>
        <w:rPr>
          <w:rFonts w:ascii="Times New Roman;Times;Serif" w:hAnsi="Times New Roman;Times;Serif"/>
          <w:b w:val="false"/>
          <w:i w:val="false"/>
          <w:caps w:val="false"/>
          <w:smallCaps w:val="false"/>
          <w:sz w:val="20"/>
        </w:rPr>
        <w:t>.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sixty days after each May 15 following the date of the initial issuance of Securities under this Indenture deliver to Holders a brief report, dated as of such May 15, which complies with the provisions of such Section 313(a).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such report shall, at the time of such transmission to Holders, be filed by the Trustee with each stock exchange, if any, upon which the Securities are listed, with the Commission and with the Issuer. The Issuer will promptly notify the Trustee when the Securities are listed on any stock exchange and of any delisting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caps w:val="false"/>
          <w:smallCaps w:val="false"/>
          <w:sz w:val="20"/>
        </w:rPr>
        <w:t>Evidence of Action Taken by Securityholders</w:t>
      </w:r>
      <w:r>
        <w:rPr>
          <w:rFonts w:ascii="Times New Roman;Times;Serif" w:hAnsi="Times New Roman;Times;Serif"/>
          <w:b w:val="false"/>
          <w:i w:val="false"/>
          <w:caps w:val="false"/>
          <w:smallCaps w:val="false"/>
          <w:sz w:val="20"/>
        </w:rPr>
        <w:t>.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 5.01 and Section 5.02) conclusive in favor of the Trustee and the Issuer, if made in the manner provided in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caps w:val="false"/>
          <w:smallCaps w:val="false"/>
          <w:sz w:val="20"/>
        </w:rPr>
        <w:t>Proof of Execution of Instruments and of Holding of Securities; Record Date</w:t>
      </w:r>
      <w:r>
        <w:rPr>
          <w:rFonts w:ascii="Times New Roman;Times;Serif" w:hAnsi="Times New Roman;Times;Serif"/>
          <w:b w:val="false"/>
          <w:i w:val="false"/>
          <w:caps w:val="false"/>
          <w:smallCaps w:val="false"/>
          <w:sz w:val="20"/>
        </w:rPr>
        <w:t>. Subject to Section 5.01 and Section 5.02, the execution of any instrument by a Securityholder or his agent or proxy may be proved by the certificate of any notary public or other officer authorized to take acknowledgment of deeds, that the Person executing such instrument acknowledged to such notary public or other such officer the execution thereof, or by an affidavit of a witness to such execution sworn to before any such notary public or other officer. Where such execution is by an officer of a corporation or association or a member of a partnership on behalf of such corporation, association or partnership, as the case may be, or by any other Person acting in a representative capacity, such certificate or affidavit shall also constitute sufficient proof of such Person’s authority.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caps w:val="false"/>
          <w:smallCaps w:val="false"/>
          <w:sz w:val="20"/>
        </w:rPr>
        <w:t>Holders to be Treated as Owners</w:t>
      </w:r>
      <w:r>
        <w:rPr>
          <w:rFonts w:ascii="Times New Roman;Times;Serif" w:hAnsi="Times New Roman;Times;Serif"/>
          <w:b w:val="false"/>
          <w:i w:val="false"/>
          <w:caps w:val="false"/>
          <w:smallCaps w:val="false"/>
          <w:sz w:val="20"/>
        </w:rPr>
        <w:t>. Prior to due presentment of a Security for registration of transfer,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monies payable upon any such Security.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caps w:val="false"/>
          <w:smallCaps w:val="false"/>
          <w:sz w:val="20"/>
        </w:rPr>
        <w:t>Securities Owned by Issuer Deemed Not Outstanding</w:t>
      </w:r>
      <w:r>
        <w:rPr>
          <w:rFonts w:ascii="Times New Roman;Times;Serif" w:hAnsi="Times New Roman;Times;Serif"/>
          <w:b w:val="false"/>
          <w:i w:val="false"/>
          <w:caps w:val="false"/>
          <w:smallCaps w:val="false"/>
          <w:sz w:val="20"/>
        </w:rPr>
        <w:t>.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as to which the Trustee has received written notice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 5.01 and Section 5.02, the Trustee shall be entitled to accept such Officers’ Certificate as conclusive evidence of the facts therein set forth and of the fact that all Securities not listed therein are Outstanding for the purpose of any such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caps w:val="false"/>
          <w:smallCaps w:val="false"/>
          <w:sz w:val="20"/>
        </w:rPr>
        <w:t>Right of Revocation of Action Taken</w:t>
      </w:r>
      <w:r>
        <w:rPr>
          <w:rFonts w:ascii="Times New Roman;Times;Serif" w:hAnsi="Times New Roman;Times;Serif"/>
          <w:b w:val="false"/>
          <w:i w:val="false"/>
          <w:caps w:val="false"/>
          <w:smallCaps w:val="false"/>
          <w:sz w:val="20"/>
        </w:rPr>
        <w:t>.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INDENTURES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caps w:val="false"/>
          <w:smallCaps w:val="false"/>
          <w:sz w:val="20"/>
        </w:rPr>
        <w:t>Supplemental Indentures Without Consent of Securityholders</w:t>
      </w:r>
      <w:r>
        <w:rPr>
          <w:rFonts w:ascii="Times New Roman;Times;Serif" w:hAnsi="Times New Roman;Times;Serif"/>
          <w:b w:val="false"/>
          <w:i w:val="false"/>
          <w:caps w:val="false"/>
          <w:smallCaps w:val="false"/>
          <w:sz w:val="20"/>
        </w:rPr>
        <w:t>. The Issuer, when authorized by a resolution of its Board of Directors certified to the Trustee, and the Trustee may from time to time and at any time enter into an indenture or indentures supplemental hereto for one or more of the following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evidence the succession of another corporation to the Issuer, or successive successions, and the assumption by the successor corporation of the covenants, agreements and obligations of the Issuer pursuant to Article 8;</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to cure any ambiguity or to correct or supplement any provision contained herein or in any supplemental indenture which may be defective or inconsistent with any other provision contained herein or in any supplemental indenture, (ii) to conform the terms of Securities to the description thereof in the prospectus and prospectus supplement (or similar offering document) offering such Securities or (iii) to make such other provisions in regard to matters or questions arising under this Indenture or under any supplemental indenture as the Board of Directors may deem necessary or desirable and which shall not adversely affect the interests of the Holders of the Securities in any material respect;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establish the form or terms of Securities of any series as permitted by Section 2.01 and Section 2.03;</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comply with any requirements of the Commission in connection with the qualification of this Indenture under the Trust Indenture Act of 1939;</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provide for uncertificated or Unregistered Securities and to make all appropriate changes for such purpose;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make any change that would not reasonably be expected to adversely affect the rights of any Holder in any material respect;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add to the covenants of the Issuer such new covenants, restrictions, conditions or provisions as its Board of Directors shall consider to be for the protection of the Holders of Securities,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make any change so long as no Securities are Outstanding.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without the consent of the Holders of any of the Securities at the time outstanding, notwithstanding any of the provisions of Section 7.02.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caps w:val="false"/>
          <w:smallCaps w:val="false"/>
          <w:sz w:val="20"/>
        </w:rPr>
        <w:t>Supplemental Indentures With Consent of Securityholders</w:t>
      </w:r>
      <w:r>
        <w:rPr>
          <w:rFonts w:ascii="Times New Roman;Times;Serif" w:hAnsi="Times New Roman;Times;Serif"/>
          <w:b w:val="false"/>
          <w:i w:val="false"/>
          <w:caps w:val="false"/>
          <w:smallCaps w:val="false"/>
          <w:sz w:val="20"/>
        </w:rPr>
        <w:t>. With the consent (evidenced as provided in Article 6)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provided, that no such supplemental indenture shall without the consent of each Holder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change the stated maturity of the Principal of, or the time of payment of any installment of interest on, such Holder’s Security;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Principal thereof or the rate of interest thereon, or any premium payable with respect thereto;</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change any place of payment where, or the currency in which, any Security or any premium or the interest thereon is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change the provisions for calculating any redemption or repurchase price, including the definitions relating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make any change to Section 4.07 or Section 4.10 (except to include other provisions subject to Section 4.10);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reduce the percentage in Principal amount of outstanding Securities of the relevant series the consent of whose Holders is required for any such supplemental indenture, for any waiver of compliance with any provisions of this Indenture or any defaults and their consequences provided for in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alter or impair the right to convert any Security at the rate and upon the terms provided in Article 12;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waive a default in the payment of Principal of or interest on any Security of such Holder (except pursuant to a rescission of acceleration pursuant to Section 4.01);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adversely affect the rights of such Holder under any mandatory redemption or repurchase provision or any right of redemption or repurchase at the option of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modify any of the provisions of this Section 7.02, except to increase any such percentage or to provide that certain other provisions of this Indenture cannot be modified or waived without the consent of the Holder of each outstanding Security affected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modify Article 13 of this Indenture or the definition of “Senior Indebtedness” in Article 1 hereof in a manner adverse to Holders of any series of Securities;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change or waive any provision that, pursuant to a board resolution or indenture supplemental hereto establishing the terms of one or more series of Securities, is prohibited to be so changed or waived.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under this section to approve the particular form of any proposed supplemental indenture, but it shall be sufficient if such consent shall approve the substance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Issuer and the Trustee of any supplemental indenture pursuant to the provisions of this Section, the Issuer shall mail a notice thereof by first class mail to the Holders of Securities of each series affected thereby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caps w:val="false"/>
          <w:smallCaps w:val="false"/>
          <w:sz w:val="20"/>
        </w:rPr>
        <w:t>Effect of Supplemental Indenture</w:t>
      </w:r>
      <w:r>
        <w:rPr>
          <w:rFonts w:ascii="Times New Roman;Times;Serif" w:hAnsi="Times New Roman;Times;Serif"/>
          <w:b w:val="false"/>
          <w:i w:val="false"/>
          <w:caps w:val="false"/>
          <w:smallCaps w:val="false"/>
          <w:sz w:val="20"/>
        </w:rPr>
        <w:t>.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caps w:val="false"/>
          <w:smallCaps w:val="false"/>
          <w:sz w:val="20"/>
        </w:rPr>
        <w:t>Documents to Be Given to Trustee</w:t>
      </w:r>
      <w:r>
        <w:rPr>
          <w:rFonts w:ascii="Times New Roman;Times;Serif" w:hAnsi="Times New Roman;Times;Serif"/>
          <w:b w:val="false"/>
          <w:i w:val="false"/>
          <w:caps w:val="false"/>
          <w:smallCaps w:val="false"/>
          <w:sz w:val="20"/>
        </w:rPr>
        <w:t>. The Trustee, subject to the provisions of Section 5.01 and Section 5.02, may receive an Officers’ Certificate and an Opinion of Counsel as conclusive evidence that any supplemental indenture executed pursuant to this Article 7 complies with the applicable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caps w:val="false"/>
          <w:smallCaps w:val="false"/>
          <w:sz w:val="20"/>
        </w:rPr>
        <w:t>Notation on Securities in Respect of Supplemental Indentures</w:t>
      </w:r>
      <w:r>
        <w:rPr>
          <w:rFonts w:ascii="Times New Roman;Times;Serif" w:hAnsi="Times New Roman;Times;Serif"/>
          <w:b w:val="false"/>
          <w:i w:val="false"/>
          <w:caps w:val="false"/>
          <w:smallCaps w:val="false"/>
          <w:sz w:val="20"/>
        </w:rPr>
        <w:t>.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at any such meeting.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SALE OR CONVEYANCE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caps w:val="false"/>
          <w:smallCaps w:val="false"/>
          <w:sz w:val="20"/>
        </w:rPr>
        <w:t>Issuer May Consolidate, etc., on Certain Terms</w:t>
      </w:r>
      <w:r>
        <w:rPr>
          <w:rFonts w:ascii="Times New Roman;Times;Serif" w:hAnsi="Times New Roman;Times;Serif"/>
          <w:b w:val="false"/>
          <w:i w:val="false"/>
          <w:caps w:val="false"/>
          <w:smallCaps w:val="false"/>
          <w:sz w:val="20"/>
        </w:rPr>
        <w:t xml:space="preserve">. The Issuer covenants that it will not merge or consolidate with any other Person or sell, convey, transfer, lease or otherwise dispose of all or substantially all of its property and assets to any Person (other than a consolidation with or merger with or into or a sale, conveyance, transfer, lease or other disposition to a Wholly-Owned Subsidiary with a positive net worth;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connection with any such merger of the Issuer with a Wholly-Owned Subsidiary, no consideration (other than common stock) in the surviving person or the Issuer shall be issued or distributed to the stockholders of the Issuer), unless (xv) either (x) the Issuer shall be the continuing corporation, or the successor corporation or (y) the Person formed by such consolidation or into which the Issuer is merged or that acquires by sale or conveyance substantially all the assets of the Issuer (if other than the Issuer) shall be a corporation or limited liability company organized and validly existing under the laws of the United States of America or any jurisdiction thereof and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Person, (xvi) immediately after giving effect to such transaction, no default or Event of Default shall have occurred and be continuing and (xvii) the Issuer delivers to the Trustee an Officers’ Certificate and Opinion of Counsel, in each case stating that such consolidation, merger or transfer and such supplemental indenture complies with this Section 8.01 and that all conditions precedent provided for herein relating to such transaction have been complied with;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however, that the foregoing limitations shall not apply if, in the good faith determination of the Board of Directors, whose determination shall be evidenced by a board resolution certified to the Trustee, the principal purpose of such transaction is to change the state of incorporation of the Issuer;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any such transaction shall not have as one of its purposes the evasion of the foregoing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caps w:val="false"/>
          <w:smallCaps w:val="false"/>
          <w:sz w:val="20"/>
        </w:rPr>
        <w:t>Successor Corporation Substituted</w:t>
      </w:r>
      <w:r>
        <w:rPr>
          <w:rFonts w:ascii="Times New Roman;Times;Serif" w:hAnsi="Times New Roman;Times;Serif"/>
          <w:b w:val="false"/>
          <w:i w:val="false"/>
          <w:caps w:val="false"/>
          <w:smallCaps w:val="false"/>
          <w:sz w:val="20"/>
        </w:rPr>
        <w:t>. In case of any such consolidation, merger, sale, conveyance, transfer, lease or other disposition, and following such an assumption by the successor Person, such successor Person shall succeed to and be substituted for the Issuer, with the same effect as if it had been named herein. Such successor Person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Person instead of the Issuer and subject to all the terms, conditions and limitations in this Indenture prescribed, the Trustee, pursuant to the terms hereof, shall authenticate and shall deliver any Securities which previously shall have been signed and delivered by the officers of the Issuer to the Trustee for authentication, and any Securities which such successor Person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conveyance, transfer, lease or other disposition, such changes in phraseology and form (but not in substance) may be made in the Securities thereafter to be issued as may be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assumption by the successor Person in the manner described in this Article, the Issuer shall be discharged from all obligations and covenants under this Indenture and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 OF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caps w:val="false"/>
          <w:smallCaps w:val="false"/>
          <w:sz w:val="20"/>
        </w:rPr>
        <w:t>Defeasance Within One Year of Payment</w:t>
      </w:r>
      <w:r>
        <w:rPr>
          <w:rFonts w:ascii="Times New Roman;Times;Serif" w:hAnsi="Times New Roman;Times;Serif"/>
          <w:b w:val="false"/>
          <w:i w:val="false"/>
          <w:caps w:val="false"/>
          <w:smallCaps w:val="false"/>
          <w:sz w:val="20"/>
        </w:rPr>
        <w:t>. Except as otherwise provided in this Section 9.01, the Issuer may terminate its obligations under the Securities of any series and this Indenture with respect to Securities of such series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Securities of such series previously authenticated and delivered (other than destroyed, lost or wrongfully taken Securities of such series that have been replaced or Securities of such series for whose payment money or securities have theretofore been held in trust and thereafter repaid to the Issuer, as provided in Section 9.05) have been delivered to the Trustee for cancellation and the Issuer has paid all sums payable by it hereunder;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Securities of such series mature within one year or all of them are to be called for redemption within one year under arrangements satisfactory to the Trustee for giving the notice of redemption, (B) the Issuer irrevocably deposits in trust with the Trustee, as trust funds solely for the benefit of the Holders of such Securities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Securities of such series to maturity or redemption, as the case may be, and to pay all other sums payable by it hereunder and (C) the Issuer delivers to the Trustee an Officers’ Certificate and an Opinion of Counsel, in each case stating that all conditions precedent provided for herein relating to the satisfaction and discharge of this Indenture with respect to the Securities of such series have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foregoing clause (i), only the Issuer’s obligations under Sections 5.06 and 9.05 in respect of the Securities of such series shall survive. With respect to the foregoing clause (ii), only the Issuer’s obligations in Sections 2.03 through 2.11, 3.02, 5.06, 5.09 and 9.05 in respect of the Securities of such series shall survive until such Securities of such series are no longer outstanding. Thereafter, only the Issuer’s obligations in Sections 5.06 and 9.05 in respect of the Securities of such series shall survive. After any such irrevocable deposit, the Trustee shall acknowledge in writing the discharge of the Issuer’s obligations under the Securities of such series and this Indenture with respect to the Securities of such series except for those surviving obligations specified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caps w:val="false"/>
          <w:smallCaps w:val="false"/>
          <w:sz w:val="20"/>
        </w:rPr>
        <w:t>Defeasance</w:t>
      </w:r>
      <w:r>
        <w:rPr>
          <w:rFonts w:ascii="Times New Roman;Times;Serif" w:hAnsi="Times New Roman;Times;Serif"/>
          <w:b w:val="false"/>
          <w:i w:val="false"/>
          <w:caps w:val="false"/>
          <w:smallCaps w:val="false"/>
          <w:sz w:val="20"/>
        </w:rPr>
        <w:t>. Except as provided below, the Issuer will be deemed to have paid and will be discharged from any and all obligations in respect of the Securities of any series and the provisions of this Indenture will no longer be in effect with respect to the Securities of such series (and the Trustee, at the expense of the Issuer, shall execute instruments in form and substance satisfactory to the Issuer and the Trustee acknowledging the same) if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has irrevocably deposited in trust with the Trustee as trust funds specifically pledged as security for, and dedicated solely to, Holders of the Securities of such series, for payment of the Principal of and interest on the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outstanding Securities of such series to maturity or earlier redemption (irrevocably provided for under arrangements satisfactory to the Trustee), as the case may be;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deposit will not result in a breach or violation of, or constitute a default under, this Indenture or any other material agreement or instrument to which the Issuer is a party or by which it is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default or Event of Default with respect to the Securities of such series shall have occurred and be continuing on the date of such deposit;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Issuer shall have delivered to the Trustee (1) either (x) a ruling directed to the Trustee received from the Internal Revenue Service to the effect that the Holders of the Securities of such series will not recognize income, gain or loss for Federal income tax purposes as a result of the Issuer’s exercise of its option under this Section 9.02 and will be subject to federal income tax on the same amount and in the same manner and at the same times as would have been the case if such deposit and defeasance had not occurred or (y) an Opinion of Counsel to the same effect as the ruling described in clause (x) above and based upon a change in law and (2) an Opinion of Counsel to the effect that the Holders of the Securities of such series have a valid security interest in the trust funds subject to no prior liens under the UCC;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Issuer has delivered to the Trustee an Officers’ Certificate and an Opinion of Counsel, in each case stating that all conditions precedent provided for herein relating to the defeasance contemplated by this Section 9.02 of the Securities of such series have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obligations in Sections 2.03 through 2.11, 3.02, 5.06, 5.09 and 9.05 with respect to the Securities of such series shall survive until such Securities are no longer outstanding. Thereafter, only the Issuer’s obligations in Sections 5.06 and 9.05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 The Issuer may omit to comply with any term, provision or condition set forth in Sections 3.04, 3.06 or 3.08 (or any other specific covenant relating to the Securities of any series provided for in a Board Resolution or supplemental indenture pursuant to Section 2.03 which may by its terms be defeased pursuant to this Section 9.03), and such omission shall be deemed not to be an Event of Default under clause (c) of Section 4.01, with respect to the outstanding Securities of such series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has irrevocably deposited in trust with the Trustee as trust funds solely for the benefit of the Holders of the Securities of such series, for payment of the Principal of and interest, if any, on the Securities of such series, money or U.S. Government Obligations or a combination thereof in an amount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interest on the outstanding Securities of such series to maturity or earlier redemption (irrevocably provided for under arrangements satisfactory to the Trustee),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deposit will not result in a breach or violation of, or constitute a default under, this Indenture or any other material agreement or instrument to which the Issuer is a party or by which it is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default or Event of Default with respect to the Securities of such series shall have occurred and be continuing on the date of such deposit;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Issuer has delivered to the Trustee an Opinion of Counsel to the effect that (A) the Holders of the Securities of such series have a valid security interest in the trust funds subject to no prior liens under the UCC and (B) such Holders will not recognize income, gain or loss for Federal income tax purposes as a result of such deposit and covenant defeasance and will be subject to federal income tax on the same amount and in the same manner and at the same times as would have been the case if such deposit and defeasance had not occurred;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Issuer has delivered to the Trustee an Officers’ Certificate and an Opinion of Counsel, in each case stating that all conditions precedent provided for herein relating to the covenant defeasance contemplated by this Section 9.03 of the Securities of such series have been complied with.</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caps w:val="false"/>
          <w:smallCaps w:val="false"/>
          <w:sz w:val="20"/>
        </w:rPr>
        <w:t>Application of Trust Money</w:t>
      </w:r>
      <w:r>
        <w:rPr>
          <w:rFonts w:ascii="Times New Roman;Times;Serif" w:hAnsi="Times New Roman;Times;Serif"/>
          <w:b w:val="false"/>
          <w:i w:val="false"/>
          <w:caps w:val="false"/>
          <w:smallCaps w:val="false"/>
          <w:sz w:val="20"/>
        </w:rPr>
        <w:t>. Subject to Section 9.05, the Trustee or Paying Agent shall hold in trust money or U.S. Government Obligations deposited with it pursuant to 9.01, 9.02, 9.03, as the case may be, in respect of the Securities of any series and shall apply the deposited money and the proceeds from deposited U.S. Government Obligations in accordance with the Securities of such series and this Indenture to the payment of Principal of and interest on the Securities of such series; provided that such money need not be segregated from other funds except to the extent required by law. The Issuer shall pay and indemnify the Trustee against any tax, fee or other charge imposed on or assessed against the U.S. Government Obligations deposited pursuant to 9.01, 9.02, 9.03, as the case may be, or the Principal and interest received in respect thereof, other than any such tax, fee or other charge that by law is for the account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caps w:val="false"/>
          <w:smallCaps w:val="false"/>
          <w:sz w:val="20"/>
        </w:rPr>
        <w:t>Repayment to Issuer</w:t>
      </w:r>
      <w:r>
        <w:rPr>
          <w:rFonts w:ascii="Times New Roman;Times;Serif" w:hAnsi="Times New Roman;Times;Serif"/>
          <w:b w:val="false"/>
          <w:i w:val="false"/>
          <w:caps w:val="false"/>
          <w:smallCaps w:val="false"/>
          <w:sz w:val="20"/>
        </w:rPr>
        <w:t xml:space="preserve">. Subject to Sections 5.06 and 9.01, the Trustee and the Paying Agent shall promptly pay to the Issuer upon request set forth in an Officers’ Certificate any money held by them at any time and not required to make payments hereunder and thereupon shall be relieved from all liability with respect to such money. Subject to applicable escheat or abandoned property laws, the Trustee and the Paying Agent shall pay to the Issuer upon written request any money held by them and required to make payments hereunder under this Indenture that remains unclaimed for two years;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Trustee or such Paying Agent before being required to make any payment shall cause to be published at the expense of the Issuer once in an Authorized Newspaper or mail to each Holder entitled to such money at such Holder’s address (as set forth in the register) notice that such money remains unclaimed and that after a date specified therein (which shall be at least 30 days from the date of such publication or mailing) any unclaimed balance of such money then remaining will be repaid to the Issuer. After payment to the Issuer, Holders entitled to such money must look to the Issuer for payment as unsecured general creditors unless an abandoned property law designates another Person, and all liability of the Trustee and such Paying Agent with respect to such money shall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caps w:val="false"/>
          <w:smallCaps w:val="false"/>
          <w:sz w:val="20"/>
        </w:rPr>
        <w:t>Incorporators, Stockholders, Officers and Directors Exempt from Individual Liability</w:t>
      </w:r>
      <w:r>
        <w:rPr>
          <w:rFonts w:ascii="Times New Roman;Times;Serif" w:hAnsi="Times New Roman;Times;Serif"/>
          <w:b w:val="false"/>
          <w:i w:val="false"/>
          <w:caps w:val="false"/>
          <w:smallCaps w:val="false"/>
          <w:sz w:val="20"/>
        </w:rPr>
        <w:t>. No recourse under or upon any obligation, covenant or agreement contained in this Indenture or in any Security, or because of any indebtedness evidenced thereby, shall be had against any incorporator, as such, or against any past, present or future stockholder, officer, director or employee, as such, of the Issuer or of any successor Person thereof, either directly or through the Issuer or any successor Person thereof,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caps w:val="false"/>
          <w:smallCaps w:val="false"/>
          <w:sz w:val="20"/>
        </w:rPr>
        <w:t>Provisions of Indenture for the Sole Benefit of Parties and Securityholders</w:t>
      </w:r>
      <w:r>
        <w:rPr>
          <w:rFonts w:ascii="Times New Roman;Times;Serif" w:hAnsi="Times New Roman;Times;Serif"/>
          <w:b w:val="false"/>
          <w:i w:val="false"/>
          <w:caps w:val="false"/>
          <w:smallCaps w:val="false"/>
          <w:sz w:val="20"/>
        </w:rPr>
        <w:t>.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caps w:val="false"/>
          <w:smallCaps w:val="false"/>
          <w:sz w:val="20"/>
        </w:rPr>
        <w:t>Successors and Assigns of Issuer Bound by Indenture</w:t>
      </w:r>
      <w:r>
        <w:rPr>
          <w:rFonts w:ascii="Times New Roman;Times;Serif" w:hAnsi="Times New Roman;Times;Serif"/>
          <w:b w:val="false"/>
          <w:i w:val="false"/>
          <w:caps w:val="false"/>
          <w:smallCaps w:val="false"/>
          <w:sz w:val="20"/>
        </w:rPr>
        <w:t>. All the covenants, stipulations, promises and agreements contained in this Indenture by or on behalf of the Issuer shall bind its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caps w:val="false"/>
          <w:smallCaps w:val="false"/>
          <w:sz w:val="20"/>
        </w:rPr>
        <w:t>Notices and Demands on Issuer, Trustee and Securityholders</w:t>
      </w:r>
      <w:r>
        <w:rPr>
          <w:rFonts w:ascii="Times New Roman;Times;Serif" w:hAnsi="Times New Roman;Times;Serif"/>
          <w:b w:val="false"/>
          <w:i w:val="false"/>
          <w:caps w:val="false"/>
          <w:smallCaps w:val="false"/>
          <w:sz w:val="20"/>
        </w:rPr>
        <w:t>.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Aptera Motors Corp. at 5818 El Camino Real, Carlsbad, California 92008, Attention: Chief Financial Officer. Any notice, direction, request or demand by the Issuer or any Securityholder to or upon the Trustee shall be deemed to have been sufficiently given or made, for all purposes, if given or made at the Corporate Trust Office.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to Holders, such notice shall be sufficiently given (unless otherwise herein expressly provided) if in writing and mailed, first-class postage prepaid, to each Holder entitled thereto, at such Holder’s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10.05 </w:t>
      </w:r>
      <w:r>
        <w:rPr>
          <w:rFonts w:ascii="Times New Roman;Times;Serif" w:hAnsi="Times New Roman;Times;Serif"/>
          <w:b w:val="false"/>
          <w:i/>
          <w:caps w:val="false"/>
          <w:smallCaps w:val="false"/>
          <w:sz w:val="20"/>
        </w:rPr>
        <w:t>Officers’ Certificates and Opinions of Counsel; Statements to be Contained Therein</w:t>
      </w:r>
      <w:r>
        <w:rPr>
          <w:rFonts w:ascii="Times New Roman;Times;Serif" w:hAnsi="Times New Roman;Times;Serif"/>
          <w:b w:val="false"/>
          <w:i w:val="false"/>
          <w:caps w:val="false"/>
          <w:smallCaps w:val="false"/>
          <w:sz w:val="20"/>
        </w:rPr>
        <w:t>.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any independent firm of public accountants filed with the Trustee shall contain a statement that such firm is independent.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10.06 </w:t>
      </w:r>
      <w:r>
        <w:rPr>
          <w:rFonts w:ascii="Times New Roman;Times;Serif" w:hAnsi="Times New Roman;Times;Serif"/>
          <w:b w:val="false"/>
          <w:i/>
          <w:caps w:val="false"/>
          <w:smallCaps w:val="false"/>
          <w:sz w:val="20"/>
        </w:rPr>
        <w:t>Payments Due on Saturdays, Sundays and Holidays</w:t>
      </w:r>
      <w:r>
        <w:rPr>
          <w:rFonts w:ascii="Times New Roman;Times;Serif" w:hAnsi="Times New Roman;Times;Serif"/>
          <w:b w:val="false"/>
          <w:i w:val="false"/>
          <w:caps w:val="false"/>
          <w:smallCaps w:val="false"/>
          <w:sz w:val="20"/>
        </w:rPr>
        <w:t>.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10.07 </w:t>
      </w:r>
      <w:r>
        <w:rPr>
          <w:rFonts w:ascii="Times New Roman;Times;Serif" w:hAnsi="Times New Roman;Times;Serif"/>
          <w:b w:val="false"/>
          <w:i/>
          <w:caps w:val="false"/>
          <w:smallCaps w:val="false"/>
          <w:sz w:val="20"/>
        </w:rPr>
        <w:t>Conflict of Any Provision of Indenture with Trust Indenture Act of 1939</w:t>
      </w:r>
      <w:r>
        <w:rPr>
          <w:rFonts w:ascii="Times New Roman;Times;Serif" w:hAnsi="Times New Roman;Times;Serif"/>
          <w:b w:val="false"/>
          <w:i w:val="false"/>
          <w:caps w:val="false"/>
          <w:smallCaps w:val="false"/>
          <w:sz w:val="20"/>
        </w:rPr>
        <w:t>. If and to the extent that any provision of this Indenture limits, qualifies or conflicts with another provision incorporated in this Indenture by operation of Sections 310 to 317, inclusive, of the Trust Indenture Act of 1939, such incorporated provision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10.08 </w:t>
      </w:r>
      <w:r>
        <w:rPr>
          <w:rFonts w:ascii="Times New Roman;Times;Serif" w:hAnsi="Times New Roman;Times;Serif"/>
          <w:b w:val="false"/>
          <w:i/>
          <w:caps w:val="false"/>
          <w:smallCaps w:val="false"/>
          <w:sz w:val="20"/>
        </w:rPr>
        <w:t>New York Law to Govern</w:t>
      </w:r>
      <w:r>
        <w:rPr>
          <w:rFonts w:ascii="Times New Roman;Times;Serif" w:hAnsi="Times New Roman;Times;Serif"/>
          <w:b w:val="false"/>
          <w:i w:val="false"/>
          <w:caps w:val="false"/>
          <w:smallCaps w:val="false"/>
          <w:sz w:val="20"/>
        </w:rPr>
        <w:t>. This Indenture and each Security shall be deemed to be a contract under the laws of the State of New York, and for all purposes shall be construed in accordance with the laws of such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10.09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Indenture may be executed in any number of counterparts, each of which shall be an original; but such counterparts shall together constitute but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caps w:val="false"/>
          <w:smallCaps w:val="false"/>
          <w:sz w:val="20"/>
        </w:rPr>
        <w:t>Effect of Headings</w:t>
      </w:r>
      <w:r>
        <w:rPr>
          <w:rFonts w:ascii="Times New Roman;Times;Serif" w:hAnsi="Times New Roman;Times;Serif"/>
          <w:b w:val="false"/>
          <w:i w:val="false"/>
          <w:caps w:val="false"/>
          <w:smallCaps w:val="false"/>
          <w:sz w:val="20"/>
        </w:rPr>
        <w:t>. The Article and Section headings herein and the Table of Contents are for convenience only and shall not affect the construction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caps w:val="false"/>
          <w:smallCaps w:val="false"/>
          <w:sz w:val="20"/>
        </w:rPr>
        <w:t>Applicability of Article</w:t>
      </w:r>
      <w:r>
        <w:rPr>
          <w:rFonts w:ascii="Times New Roman;Times;Serif" w:hAnsi="Times New Roman;Times;Serif"/>
          <w:b w:val="false"/>
          <w:i w:val="false"/>
          <w:caps w:val="false"/>
          <w:smallCaps w:val="false"/>
          <w:sz w:val="20"/>
        </w:rPr>
        <w:t>. The provisions of this Article shall be applicable to the Securities of any series which are redeemable before their maturity except as otherwise specified as contemplated by Section 2.03 for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caps w:val="false"/>
          <w:smallCaps w:val="false"/>
          <w:sz w:val="20"/>
        </w:rPr>
        <w:t>Notice of Redemption; Partial Redemptions</w:t>
      </w:r>
      <w:r>
        <w:rPr>
          <w:rFonts w:ascii="Times New Roman;Times;Serif" w:hAnsi="Times New Roman;Times;Serif"/>
          <w:b w:val="false"/>
          <w:i w:val="false"/>
          <w:caps w:val="false"/>
          <w:smallCaps w:val="false"/>
          <w:sz w:val="20"/>
        </w:rPr>
        <w:t>.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to each such Holder shall specify the CUSIP numbers of such Securities to be redeemed, the Principal amount of each Security of such series held by such Holder to be redeemed, the date fixed for redemption, the redemption price, the place or places of payment, that payment will be made upon presentation and surrender of such Securities,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the method the Trustee shall use to determine such Securities to be redeemed as specified in the last paragraph of this Section 11.02, if applicable, and shall state that on and after the date fixed for redemption, upon surrender of such Security, a new Security or Securities of such series in Principal amount equal to the unredeemed portion thereof will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of Securities of any series to be redeemed at the option of the Issuer shall be given by the Issuer or, at the Issuer’s written request, by the Trustee in the name and at the expense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11:00 a.m. (New York City time) on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3.03) an amount of money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(unless a shorter period shall be satisfactory to the Trustee) prior to the date fixed for redemption an Officers’ Certificate stating the aggregate Principal amount of Securities to be redeemed.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redemption of all of the Securities of a series outstanding, the Issuer shall notify the Trustee in writing of the redemption date 45 days (unless a shorter period shall be satisfactory to the Trustee) prior to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 series are to be redeemed, the Trustee shall select, pro rata or by lot or in such manner as it shall deem appropriate and fair, Securities of such series to be redeemed in whole or in part. Securities of a series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caps w:val="false"/>
          <w:smallCaps w:val="false"/>
          <w:sz w:val="20"/>
        </w:rPr>
        <w:t>Payment of Securities Called for Redemption</w:t>
      </w:r>
      <w:r>
        <w:rPr>
          <w:rFonts w:ascii="Times New Roman;Times;Serif" w:hAnsi="Times New Roman;Times;Serif"/>
          <w:b w:val="false"/>
          <w:i w:val="false"/>
          <w:caps w:val="false"/>
          <w:smallCaps w:val="false"/>
          <w:sz w:val="20"/>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 5.05 and Section 9.04,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the date fixed for redemption shall be payable to the Holders of such Securities registered as such on the relevant record date subject to the terms and provisions of Section 2.07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 pursuant to Sections 2.04, 2.05 and 2.06.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caps w:val="false"/>
          <w:smallCaps w:val="false"/>
          <w:sz w:val="20"/>
        </w:rPr>
        <w:t>Exclusion of Certain Securities from Eligibility for Selection for Redemption</w:t>
      </w:r>
      <w:r>
        <w:rPr>
          <w:rFonts w:ascii="Times New Roman;Times;Serif" w:hAnsi="Times New Roman;Times;Serif"/>
          <w:b w:val="false"/>
          <w:i w:val="false"/>
          <w:caps w:val="false"/>
          <w:smallCaps w:val="false"/>
          <w:sz w:val="20"/>
        </w:rPr>
        <w:t>.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directly or indirectly controlling or controlled by or under direct or indirect common control with the Issuer.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11.05 </w:t>
      </w:r>
      <w:r>
        <w:rPr>
          <w:rFonts w:ascii="Times New Roman;Times;Serif" w:hAnsi="Times New Roman;Times;Serif"/>
          <w:b w:val="false"/>
          <w:i/>
          <w:caps w:val="false"/>
          <w:smallCaps w:val="false"/>
          <w:sz w:val="20"/>
        </w:rPr>
        <w:t>Conversion Arrangement On Call For Redemption</w:t>
      </w:r>
      <w:r>
        <w:rPr>
          <w:rFonts w:ascii="Times New Roman;Times;Serif" w:hAnsi="Times New Roman;Times;Serif"/>
          <w:b w:val="false"/>
          <w:i w:val="false"/>
          <w:caps w:val="false"/>
          <w:smallCaps w:val="false"/>
          <w:sz w:val="20"/>
        </w:rPr>
        <w:t>. In connection with any redemption of Securities, the Issuer shall deposit the amount due in connection with such redemption as required by Section 11.02 or it may arrange for the purchase and conversion of any Securities called for redemption by an agreement with one or more investment bankers or other purchasers to purchase such Securities and to make the deposit required of it by Section 11.02 on its behalf by paying to the Trustee or the Paying Agent in trust for the Securityholders, on or before 10:00 a.m. New York time on the redemption date, an amount no less than the redemption price, together with interest, if any, accrued to the redemption date of such Securities, in immediately available funds. Notwithstanding anytime to the contrary contained in this Article 11, the obligation of the Issuer to pay the redemption price of such Securities, including all accrued interest, if any, shall be deemed to be satisfied and discharged to the extent such amount is so paid by such purchasers. If such an agreement is entered into, any Securities not duly surrendered for conversion by the Holders thereof may, at the option of the Issuer, be deemed, to the fullest extent permitted by law, acquired by such purchasers from such Holders and (notwithstanding anything to the contrary contained in Article 12) surrendered by such purchasers for conversion, all as of immediately prior to the close of business on the last day on which Securities of such series called for redemption may be converted in accordance with this Indenture and the terms of such Securities, subject to payment of the above amount aforesaid. The Trustee or the Paying Agent shall hold and pay to the Securityholders whose Securities are selected for redemption any such amount paid to it in the same manner as it would monies deposited with it by the Issuer for the redemption of Securities. Without the Trustee’s and the Paying Agent’s prior written consent, no arrangement between the Issuer and such purchasers for the purchase and conversion of any Securities shall increase or otherwise affect any of the powers, duties, responsibilities or obligations of the Trustee as set forth in this Indenture, and the Issuer agrees to indemnify the Trustee from, and hold it harmless against, any loss, liability or expense arising out of or in connection with any such arrangement for the purchase and conversion of any Securities between the Issuer and such purchasers, including the costs and expenses incurred by the Trustee and the Paying Agent in the defense of any claim or liability arising out of or in connection with the exercise or performance of any of its powers, duties, responsibilities or obligations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caps w:val="false"/>
          <w:smallCaps w:val="false"/>
          <w:sz w:val="20"/>
        </w:rPr>
        <w:t>Applicability of Article</w:t>
      </w:r>
      <w:r>
        <w:rPr>
          <w:rFonts w:ascii="Times New Roman;Times;Serif" w:hAnsi="Times New Roman;Times;Serif"/>
          <w:b w:val="false"/>
          <w:i w:val="false"/>
          <w:caps w:val="false"/>
          <w:smallCaps w:val="false"/>
          <w:sz w:val="20"/>
        </w:rPr>
        <w:t>. Securities of any series which are convertible into Capital Stock at the option of the Securityholder shall be convertible in accordance with their terms and (unless otherwise specified as contemplated by Section 2.03 for Securities of any series) in accordance with this Article. Each reference in this Article 12 to “a Security” or “the Securities” refers to the Securities of the particular series that is convertible into Capital Stock. Each reference in this Article to “Capital Stock” into which Securities of any series are convertible refers to the class of Capital Stock into which the Securities of such series are convertible in accordance with their terms (as specified as contemplated by Section 2.03). If more than one series of Securities with conversion privileges are outstanding at any time, the provisions of this Article 12 shall be applied separately to each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12.02 </w:t>
      </w:r>
      <w:r>
        <w:rPr>
          <w:rFonts w:ascii="Times New Roman;Times;Serif" w:hAnsi="Times New Roman;Times;Serif"/>
          <w:b w:val="false"/>
          <w:i/>
          <w:caps w:val="false"/>
          <w:smallCaps w:val="false"/>
          <w:sz w:val="20"/>
        </w:rPr>
        <w:t>Right of Securityholders to Convert Securities</w:t>
      </w:r>
      <w:r>
        <w:rPr>
          <w:rFonts w:ascii="Times New Roman;Times;Serif" w:hAnsi="Times New Roman;Times;Serif"/>
          <w:b w:val="false"/>
          <w:i w:val="false"/>
          <w:caps w:val="false"/>
          <w:smallCaps w:val="false"/>
          <w:sz w:val="20"/>
        </w:rPr>
        <w:t>. Subject to and upon compliance with the terms of the Securities and the provisions of Section 11.05 and this Article 12, at the option of the Holder thereof, any Security of any series of any authorized denomination, or any portion of the Principal amount thereof which is $1,000 or any integral multiple of $1,000, may, at any time during the period specified in the Securities of such series, or in case such Security or portion thereof shall have been called for redemption, then in respect of such Security or portion thereof until and including, but not after (unless the Issuer shall default in payment due upon the redemption thereof) the close of business on the Business Day prior to the date fixed for redemption except that in the case of redemption at the option of the Securityholder, if specified in the terms of such Securities, such right shall terminate upon receipt of written notice of the exercise of such option, be converted into duly authorized, validly issued, fully paid and nonassessable shares of Capital Stock, as specified in such Security, at the conversion rate for each $1,000 Principal amount of Securities (such initial conversion rate reflecting an initial conversion price specified in such Security) in effect on the conversion date, or, in case an adjustment in the conversion rate has taken place pursuant to the provisions of Section 12.05, then at the applicable conversion rate as so adjusted, upon surrender of the Security or Securities, the Principal amount of which is so to be converted, to the Issuer at any time during usual business hours at the office or agency to be maintained by it in accordance with the provisions of Section 3.02, accompanied by a written notice of election to convert as provided in Section 12.03 and, if so required by the Issuer and the Trustee, by a written instrument or instruments of transfer in form satisfactory to the Issuer and the Trustee duly executed by the registered Holder or his attorney duly authorized in writing. All Securities surrendered for conversion shall, if surrendered to the Issuer or any conversion agent, be delivered to the Trustee for cancellation and cancelled by it, or shall, if surrendered to the Trustee, be cancelled by it, as provided in Section 2.10.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conversion price or conversion rate in respect of a series of Securities shall be as specified in the Securities of such series. The conversion price or conversion rate will be subject to adjustment on the terms set forth in Section 12.05 or such other or different terms, if any, as may be specified by Section 2.03 for Securities of such series. Provisions of this Indenture that apply to conversion of all of a Security also apply to conversion of a portion of it.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12.03 </w:t>
      </w:r>
      <w:r>
        <w:rPr>
          <w:rFonts w:ascii="Times New Roman;Times;Serif" w:hAnsi="Times New Roman;Times;Serif"/>
          <w:b w:val="false"/>
          <w:i/>
          <w:caps w:val="false"/>
          <w:smallCaps w:val="false"/>
          <w:sz w:val="20"/>
        </w:rPr>
        <w:t>Issuance of Shares of Capital Stock on Conversion</w:t>
      </w:r>
      <w:r>
        <w:rPr>
          <w:rFonts w:ascii="Times New Roman;Times;Serif" w:hAnsi="Times New Roman;Times;Serif"/>
          <w:b w:val="false"/>
          <w:i w:val="false"/>
          <w:caps w:val="false"/>
          <w:smallCaps w:val="false"/>
          <w:sz w:val="20"/>
        </w:rPr>
        <w:t>. As promptly as practicable after the surrender, as herein provided, of any Security or Securities for conversion, the Issuer shall deliver or cause to be delivered at its said office or agency to or upon the written order of the Holder of the Security or Securities so surrendered a certificate or certificates representing the number of duly authorized, validly issued, fully paid and nonassessable shares of Capital Stock into which such Security or Securities may be converted in accordance with the terms thereof and the provisions of this Article 12. Prior to delivery of such certificate or certificates, the Issuer shall require a written notice at its said office or agency from the Holder of the Security or Securities so surrendered stating that the Holder irrevocably elects to convert such Security or Securities, or, if less than the entire Principal amount thereof is to be converted, stating the portion thereof to be converted. Such notice shall also state the name or names (with address and social security or other taxpayer identification number) in which said certificate or certificates are to be issued. Such conversion shall be deemed to have been made at the time that such Security or Securities shall have been surrendered for conversion and such notice shall have been received by the Issuer or the Trustee, the rights of the Holder of such Security or Securities as a Securityholder shall cease at such time, the person or persons entitled to receive the shares of Capital Stock upon conversion of such Security or Securities shall be treated for all purposes as having become the record holder or holders of such shares of Capital Stock at such time and such conversion shall be at the conversion rate in effect at such time. In the case of any Security of any series which is converted in part only, upon such conversion, the Issuer shall execute and the Trustee shall authenticate and deliver to the Holder thereof, as requested by such Holder, a new Security or Securities of such series of authorized denominations in aggregate Principal amount equal to the unconverted portion of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last day on which a Security may be converted is not a Business Day in a place where a conversion agent is located, the Security may be surrendered to that conversion agent on the next succeeding day that is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not be required to deliver certificates for shares of Capital Stock upon conversion while its stock transfer books are closed for a meeting of shareholders or for the payment of dividends or for any other purpose, but certificates for shares of Capital Stock shall be delivered as soon as the stock transfer books shall again be opened.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12.04 </w:t>
      </w:r>
      <w:r>
        <w:rPr>
          <w:rFonts w:ascii="Times New Roman;Times;Serif" w:hAnsi="Times New Roman;Times;Serif"/>
          <w:b w:val="false"/>
          <w:i/>
          <w:caps w:val="false"/>
          <w:smallCaps w:val="false"/>
          <w:sz w:val="20"/>
        </w:rPr>
        <w:t>No Payment or Adjustment for Interest or Dividends</w:t>
      </w:r>
      <w:r>
        <w:rPr>
          <w:rFonts w:ascii="Times New Roman;Times;Serif" w:hAnsi="Times New Roman;Times;Serif"/>
          <w:b w:val="false"/>
          <w:i w:val="false"/>
          <w:caps w:val="false"/>
          <w:smallCaps w:val="false"/>
          <w:sz w:val="20"/>
        </w:rPr>
        <w:t>. Unless otherwise specified as contemplated by Section 2.03 for Securities of such series, Securities surrendered for conversion during the period from the close of business on any regular record date (or special record date for payment of defaulted interest) next preceding any interest payment date to the opening of business on such interest payment date (except Securities called for redemption on a redemption date within such period) when surrendered for conversion must be accompanied by payment of an amount equal to the interest thereon which the registered Holder is to receive on such interest payment date. Payment of interest shall be made, as of such interest payment date or such date, as the case may be, to the Holder of record of the Securities as of such regular, or special record date, as applicable. Except where Securities surrendered for conversion must be accompanied by payment as described above, no interest on converted Securities will be payable by the Issuer on any interest payment date subsequent to the date of conversion. No other payment or adjustment for interest or dividends is to be made upon conversion. Notwithstanding the foregoing, upon conversion of any Original Issue Discount Security, the fixed number of shares of Capital Stock into which such Security is convertible delivered by the Issuer to the Holder thereof shall be applied, first, to pay the accrued original issue discount attributable to the period from the date of issuance to the date of conversion of such Security, and, second, to pay the balance of the Principal amount of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12.05 </w:t>
      </w:r>
      <w:r>
        <w:rPr>
          <w:rFonts w:ascii="Times New Roman;Times;Serif" w:hAnsi="Times New Roman;Times;Serif"/>
          <w:b w:val="false"/>
          <w:i/>
          <w:caps w:val="false"/>
          <w:smallCaps w:val="false"/>
          <w:sz w:val="20"/>
        </w:rPr>
        <w:t>Adjustment of Conversion Rate</w:t>
      </w:r>
      <w:r>
        <w:rPr>
          <w:rFonts w:ascii="Times New Roman;Times;Serif" w:hAnsi="Times New Roman;Times;Serif"/>
          <w:b w:val="false"/>
          <w:i w:val="false"/>
          <w:caps w:val="false"/>
          <w:smallCaps w:val="false"/>
          <w:sz w:val="20"/>
        </w:rPr>
        <w:t>. Unless otherwise specified as contemplated by Section 2.03 for Securities of such series, the conversion rate for Securities in effect at any time shall be subject to adjustment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the Issuer shall (i) declare a dividend or make a distribution on the class of Capital Stock into which Securities of such series are convertible in shares of its Capital Stock, (ii) subdivide the outstanding shares of the class of Capital Stock into which Securities of such series are convertible into a greater number of shares, (iii)combine the outstanding shares of the class of Capital Stock into which Securities of such series are convertible into a smaller number of shares or (iv) issue by reclassification of the shares of the class of Capital Stock into which Securities of such series are convertible (including any such reclassification in connection with a consolidation or merger in which the Issuer is the continuing corporation) any shares, the conversion rate for the Securities of such series in effect at the time of the record subdivision, combination or reclassification, shall be proportionately adjusted so that the Holder of any Security of such series surrendered for conversion after such time shall be entitled to receive the number and kind of shares which he would have owned or have been entitled to receive had such Security been converted immediately prior to such time. Similar adjustments shall be made whenever any event listed above shall occur.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the Issuer shall fix a record date for the issuance of rights or warrants to all holders of the class of Capital Stock into which Securities of such series are convertible entitling them (for a period expiring within 45 days after such record date) to subscribe for or purchase shares of such class of Capital Stock (or securities convertible into shares of such class of Capital Stock) at a price per share (or, in the case of a right or warrant to purchase securities convertible into such class of Capital Stock, having a conversion price per share, after adding thereto the exercise price, computed on the basis of the maximum number of shares of such class of Capital Stock issuable upon conversion of such convertible securities, per share of such class of Capital Stock, so issuable) less than the current market price per share of such class of Capital Stock (as defined in subsection (e) below) on the date on which such issuance was declared or otherwise announced by the Issuer (the “</w:t>
      </w:r>
      <w:r>
        <w:rPr>
          <w:rFonts w:ascii="Times New Roman;Times;Serif" w:hAnsi="Times New Roman;Times;Serif"/>
          <w:b/>
          <w:i w:val="false"/>
          <w:caps w:val="false"/>
          <w:smallCaps w:val="false"/>
          <w:sz w:val="20"/>
        </w:rPr>
        <w:t>Determination Date</w:t>
      </w:r>
      <w:r>
        <w:rPr>
          <w:rFonts w:ascii="Times New Roman;Times;Serif" w:hAnsi="Times New Roman;Times;Serif"/>
          <w:b w:val="false"/>
          <w:i w:val="false"/>
          <w:caps w:val="false"/>
          <w:smallCaps w:val="false"/>
          <w:sz w:val="20"/>
        </w:rPr>
        <w:t>”), the number of shares of such class of Capital Stock into which each $1,000 Principal amount of Securities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number of shares of such class of Capital Stock outstanding on the Determination Date plus the number of additional shares of such class of Capital Stock offered for subscription or purchase (or in the case of a right or warrant to purchase securities convertible into such class of Capital Stock, the aggregate number of additional shares of such class of Capital Stock into which the convertible securities so offered are initially convertible), and of which the denominator shall be the number of shares of such class of Capital Stock outstanding on the Determination Date plus the number of shares of such class of Capital Stock obtained by dividing the aggregate offering price of the total number of shares so offered (or, in the case of a right or warrant to purchase securities convertible into such class of Capital Stock, the aggregate initial conversion price of the convertible securities so offered, after adding thereto the aggregate exercise price of such rights or warrants computed on the basis of the maximum number of shares of such class of Capital Stock issuable upon conversion of such convertible securities) by such current market price. Shares of such class of Capital Stock of the Issuer owned by or held for the account of the Issuer shall not be deemed outstanding for the purpose of any such computation. Such adjustment shall be made successively whenever such a record date is fixed; and to the extent that shares of such class of Capital Stock are not delivered (or securities convertible into shares of such class of Capital Stock are not delivered) after the expiration of such rights or warrants (or, in the case of rights or warrants to purchase securities convertible into such class of Capital Stock once exercised, the expiration of the conversion right of such securities) the conversion rate shall be readjusted to the conversion rate which would then be in effect had the adjustments made upon the issuance of such rights or warrants (or securities convertible into shares) been made upon the basis of delivery of only the number of shares actually delivered. In the event that such rights or warrants are not so issued, the conversion rate shall again be adjusted to be the conversion rate which would then be in effect if such record date had not been fixed.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case the Issuer shall fix a record date for the making of a distribution to all holders of the class of Capital Stock into which Securities of such series are convertible (including any such distribution made in connection with a consolidation or merger in which the Issuer is the continuing corporation) of evidences of its indebtedness or assets (excluding any cash dividends paid from retained earnings and dividends payable in Capital Stock for which adjustment is made pursuant to subsection (a) above or (d) below) or subscription rights or warrants (excluding subscription rights or warrants to purchase the class of Capital Stock into which Securities of such series are convertible), the number of shares of such class of Capital Stock into which each $1,000 Principal amount of Securities of such series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fair market value of the assets of the Issuer, after deducting therefrom all liabilities of the Issuer and all preferences (including accrued but unpaid dividends) in respect of classes of Capital Stock having a preference with respect to the assets of the Issuer over such class of Capital Stock (all as determined by the Board of Directors, whose determination shall be conclusive, and described in a certificate signed by chairman of the Issuer’s Board of Directors, its president, any vice president, its treasurer, any assistant treasurer, its secretary or any assistant secretary, filed with the Trustee and each conversion agent) on such record date, and of which the denominator shall be such fair market value after deducting therefrom such liabilities and preferences, less the fair market value (as determined by the Board of Directors, whose determination shall be conclusive, and described in a statement filed with the Trustee and each conversion agent) of the assets or evidences of indebtedness, so distributed or of such subscription rights or warrants applicable, so distributed. Such adjustment shall be made successively whenever such a record date is fixed; and in the event that such distribution is not so made, the conversion rate shall again be adjusted to the conversion rate which would then be in effect if such record date had not been fixed.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the Issuer shall, by dividend or otherwise, distribute to all holders of its Capital Stock cash (excluding any dividend or distribution in connection with the liquidation, dissolution or winding up of the Issuer, whether voluntary or involuntary), then, in such case, unless the Issuer elects to reserve such cash for distribution to the Holders of the Securities upon the conversion of the Securities so that any such Holder converting Securities will receive upon such conversion, in addition to the shares of Capital Stock to which such Holder is entitled, the amount of cash which such Holder would have received if such Holder had, immediately prior to the record date for such distribution of cash, converted its Securities into Capital Stock, the conversion rate shall be adjusted so that the same shall equal the rate determined by multiplying the conversion rate in effect immediately prior to the record date by a fraction of which the denominator shall be the current market price of the Capital Stock (determined as provided in Section 12.05(e) on the record date less the amount of cash so distributed (and not excluded as provided above) applicable to one share of Capital Stock and the numerator shall be such current market price of the Capital Stock (determined as provided in Section 12.05(e)), such adjustment to be effective immediately prior to the opening of business on the day following the record date; provided, however, that in the event the portion of the cash so distributed applicable to one share of Capital Stock is equal to or greater than the current market price of the Capital Stock (determined as provided in (e)Section 12.05(e)) on the record date, in lieu of the foregoing adjustment, adequate provision shall be made so that each Securityholder shall have the right to receive upon conversion the amount of cash such Holder would have received had such Holder converted each Security on the record date. If such dividend or distribution is not so paid or made, the conversion rate shall again be adjusted to be the conversion rate which would then be in effect if such dividend or distribution had not been declared.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purpose of any computation under subsections (b) and (d) above and Section 12.06, the current market price per share of the Capital Stock on any date as of which such price is to be computed shall mean the average of the Closing Prices for the 30 consecutive Business Days commencing 45 Business Days before such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 adjustment in the conversion rate shall be required unless such adjustment would require a cumulative increase or decrease of at least 1% in such rate; provided, however, that any adjustments which by reason of this subsection (f) are not required to be made shall be carried forward and taken into account in any subsequent adjustment;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adjustments shall be required and made in accordance with the provisions of this Article 12 (other than this subsection (f)) not later than such time as may be required in order to preserve the tax-free nature of a States income tax purposes to the Holders of Securities or the class of Capital Stock into which such Securities are convertible. All calculations under this Article 12 shall be made to the nearest cent or to the nearest one-thousandth of a share, as the case may be. Anything in this Section 12.05 to the contrary notwithstanding, the Issuer shall be entitled to make such adjustments in the conversion rate, in addition to those required by this Section 12.05, as it in its discretion shall determine to be advisable in order that any stock dividend, subdivision of shares, distribution of rights to purchase stock or securities, or distribution of securities convertible into or exchangeable for stock hereafter made by the Issuer to its shareholders shall not be taxable for United States income tax purposes.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Whenever the conversion rate is adjusted, as herein provided, the Issuer shall promptly file with the Trustee and with the office or agency maintained by the Issuer for the conversion of Securities of such series pursuant to Section 3.02, a certificate of a firm of independent public accountants of recognized national standing selected by the Board of Directors (who may be the regular accountants employed by the Issuer) setting forth the conversion rate after such adjustment and setting forth a brief statement of the facts requiring such adjustment and a computation thereof. Such certificate shall be conclusive evidence of the correctness of such adjustment. Neither the Trustee nor any conversion agent shall be under any duty or responsibility with respect to any such certificate or any facts or computations set forth therein, except to exhibit said certificate from time to time to any Securityholder of such series desiring to inspect the same. The Issuer shall promptly cause a notice setting forth the adjusted conversion rate to be mailed to the Holders of Securities of such series, as their names and addresses appear upon the register of the Issuer.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event that at any time, as a result of shares of any other class of Capital Stock becoming issuable in exchange or substitution for or in lieu of shares of the class of Capital Stock into which such Securities are convertible or as a result of an adjustment made pursuant to subsection (a) above, the Holder of any Security of such series thereafter surrendered for conversion shall become entitled to receive any shares of the Issuer other than shares of the class of Capital Stock into which the Issuer of such series are convertible, thereafter the number of such other shares so receivable upon conversion of any Security shall be subject to adjustment from time to time in a manner and on terms as nearly equivalent as practicable to the provisions with respect to the class of Capital Stock into which the Securities of such series are convertible contained in subsections (a) to (f), inclusive, above, and the provisions of this Article 12 with respect to the class of Capital Stock into which the Securities of such series are convertible shall apply on like terms to any such other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conversion rate with respect to any Original Issue Discount Security, the terms of which provide for convertibility, shall not be adjusted during the term of such Original Issue Discount Security for accrued original issue discount.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the event that the Securities of any series are convertible into more than one class of Capital Stock, the provisions of this Section 12.05 shall apply separately to events affecting each such class.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12.06 </w:t>
      </w:r>
      <w:r>
        <w:rPr>
          <w:rFonts w:ascii="Times New Roman;Times;Serif" w:hAnsi="Times New Roman;Times;Serif"/>
          <w:b w:val="false"/>
          <w:i/>
          <w:caps w:val="false"/>
          <w:smallCaps w:val="false"/>
          <w:sz w:val="20"/>
        </w:rPr>
        <w:t>No Fractional Shares to Be Issued</w:t>
      </w:r>
      <w:r>
        <w:rPr>
          <w:rFonts w:ascii="Times New Roman;Times;Serif" w:hAnsi="Times New Roman;Times;Serif"/>
          <w:b w:val="false"/>
          <w:i w:val="false"/>
          <w:caps w:val="false"/>
          <w:smallCaps w:val="false"/>
          <w:sz w:val="20"/>
        </w:rPr>
        <w:t>. No fractional shares of Capital Stock shall be issued upon conversions of Securities. If more than one Security of any series shall be surrendered for conversion at one time by the same Holder, the number of full shares which shall be issuable upon conversion thereof shall be computed on the basis of the aggregate Principal amount of the Securities of such series (or specified portions thereof to the extent permitted hereby) so surrendered. Instead of a fraction of a share of Capital Stock which would otherwise be issuable upon conversion of any Security or Securities (or specified portions thereof), the Issuer shall pay a cash adjustment in respect of such fraction of a share in an amount equal to the same fractional interest of the current market price (as defined in Section 12.05) per share of Capital Stock on the Business Day next preceding the day of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12.07 </w:t>
      </w:r>
      <w:r>
        <w:rPr>
          <w:rFonts w:ascii="Times New Roman;Times;Serif" w:hAnsi="Times New Roman;Times;Serif"/>
          <w:b w:val="false"/>
          <w:i/>
          <w:caps w:val="false"/>
          <w:smallCaps w:val="false"/>
          <w:sz w:val="20"/>
        </w:rPr>
        <w:t>Preservation of Conversion Rights Upon Consolidation, Merger, Sale or Conveyance</w:t>
      </w:r>
      <w:r>
        <w:rPr>
          <w:rFonts w:ascii="Times New Roman;Times;Serif" w:hAnsi="Times New Roman;Times;Serif"/>
          <w:b w:val="false"/>
          <w:i w:val="false"/>
          <w:caps w:val="false"/>
          <w:smallCaps w:val="false"/>
          <w:sz w:val="20"/>
        </w:rPr>
        <w:t>. In case of any consolidation of the Issuer with, or merger of the Issuer into, any other corporation (other than a consolidation or merger in which the Issuer is the continuing corporation), or in the case of any sale or transfer of all or substantially all of the assets of the Issuer, the corporation formed by such consolidation or the corporation into which the Issuer shall have been merged or the corporation which shall have acquired such assets, as the case may be, shall execute and deliver to the Trustee, a supplemental indenture, subject to the provisions of Article 12and ARTICLE 8 as they relate to supplemental indentures, providing that the Holder of each Security then Outstanding of a series which was convertible into Capital Stock shall have the right thereafter to convert such Security into the kind and amount of shares of stock and other securities and property, including cash, receivable upon such consolidation, merger, sale or transfer by a holder of the number of shares of Capital Stock of the Issuer into which such Securities might have been converted immediately prior to such consolidation, merger, sale or transfer. Such supplemental indenture shall conform to the provisions of the Trust Indenture Act of 1939 as then in effect and shall provide for adjustments which shall be as nearly equivalent as may be practicable to the adjustments provided for in this Article 12. Neither the Trustee nor any conversion agent shall be under any responsibility to determine the correctness of any provision contained in any such supplemental indenture relating either to the kind or amount of shares of stock or other securities or property receivable by Securityholders upon the conversion of their Securities after any such consolidation, merger, sale or transfer, or to any adjustment to be made with respect there to and, subject to the provisions of Article 5, may accept as conclusive evidence of the correctness of any such provisions, and shall be protected in relying upon, an Opinion of Counsel with respect thereto. If in the case of any such consolidation, merger, sale or transfer, the stock or other securities and property receivable by a Holder of the Securities includes stock or other securities and property of a corporation other than the successor or purchasing corporation, then such supplemental indenture shall also be executed by such other corporation and shall contain such additional provisions to protect the interests of the Holders of the Securities as the Board of Directors shall reasonably consider necessary. The above provisions of this Section 12.07 shall similarly apply to successive consolidations, mergers, sales or transfers.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12.08 Notice to Security Holders of a Series Prior to Taking Certain Types of Action. With respect to the Securities of any series, in case: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authorize the issuance to all holders of the class of Capital Stock into which Securities of such series are convertible of rights or warrants to subscribe for or purchase shares of its Capital Stock or of any other right;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shall authorize the distribution to all holders of the class of Capital Stock into which Securities of such series are convertible of evidences of its indebtedness or assets (except for the exclusions with respect to certain dividends set forth in Section 12.05(c));</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of any subdivision, combination or reclassification of the class of Capital Stock into which Securities of such series are convertible or of any consolidation or merger to which the Issuer is a party and for which approval by the shareholders of the Issuer is required, or of the sale or transfer of all or substantially all of the assets of the Issuer;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of the voluntary or involuntary dissolution, liquidation or winding up of the Issuer; then the Issuer shall cause to be filed with the Trustee and at the office or agency maintained for the purpose of conversion of Securities of such series pursuant to Section 3.02, and shall cause to be mailed to the Holders of Securities of such series, at their last addresses as they shall appear upon the register of the Issuer, at least 10 days prior to the applicable record date hereinafter specified, a notice stating (i) the date as of which the holders of such class of Capital Stock to be entitled to receive any such rights, warrants or distribution are to be determined, or (ii) the date on which any such subdivision, combination, reclassification, consolidation, merger, sale, transfer, dissolution, liquidation, winding up or other action is expected to become effective, and the date as of which it is expected that holders of record of such class of Capital Stock shall be entitled to exchange their Capital Stock of such class for securities or other property, if any, deliverable upon such subdivision, combination, reclassification, consolidation, merger, sale, transfer, dissolution, liquidation, winding up or other action. The failure to give the notice required by this Section 12.08 or any defect therein shall not affect the legality or validity of any distribution, right, warrant, subdivision, combination, reclassification, consolidation, merger, sale, transfer, dissolution, liquidation, winding up or other action, or the vote upon any of the foregoing. Such notice shall also be published by and at the expense of the Issuer not later than the aforesaid filing date at least once in an Authorized Newspaper.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12.09 </w:t>
      </w:r>
      <w:r>
        <w:rPr>
          <w:rFonts w:ascii="Times New Roman;Times;Serif" w:hAnsi="Times New Roman;Times;Serif"/>
          <w:b w:val="false"/>
          <w:i/>
          <w:caps w:val="false"/>
          <w:smallCaps w:val="false"/>
          <w:sz w:val="20"/>
        </w:rPr>
        <w:t>Covenant to Reserve Shares for Issuance on Conversion of Securities</w:t>
      </w:r>
      <w:r>
        <w:rPr>
          <w:rFonts w:ascii="Times New Roman;Times;Serif" w:hAnsi="Times New Roman;Times;Serif"/>
          <w:b w:val="false"/>
          <w:i w:val="false"/>
          <w:caps w:val="false"/>
          <w:smallCaps w:val="false"/>
          <w:sz w:val="20"/>
        </w:rPr>
        <w:t>. The Issuer covenants that at all times it will reserve and keep available out of each class of its authorized Capital Stock, free from preemptive rights, solely for the purpose of issue upon conversion of Securities of any series as herein provided, such number of shares of Capital Stock of such class as shall then be issuable upon the conversion of all Outstanding Securities of such series. The Issuer covenants that an shares of Capital Stock which shall be so issuable shall, when issued or delivered, be duly and validly issued shares of the class of authorized Capital Stock into which Securities of such series are convertible, and shall be fully paid and nonassessable, free of all liens and charges and not subject to preemptive rights and that, upon conversion, the appropriate capital stock accounts of the Issuer will be duly credited.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12.10 </w:t>
      </w:r>
      <w:r>
        <w:rPr>
          <w:rFonts w:ascii="Times New Roman;Times;Serif" w:hAnsi="Times New Roman;Times;Serif"/>
          <w:b w:val="false"/>
          <w:i/>
          <w:caps w:val="false"/>
          <w:smallCaps w:val="false"/>
          <w:sz w:val="20"/>
        </w:rPr>
        <w:t>Compliance with Governmental Requirements</w:t>
      </w:r>
      <w:r>
        <w:rPr>
          <w:rFonts w:ascii="Times New Roman;Times;Serif" w:hAnsi="Times New Roman;Times;Serif"/>
          <w:b w:val="false"/>
          <w:i w:val="false"/>
          <w:caps w:val="false"/>
          <w:smallCaps w:val="false"/>
          <w:sz w:val="20"/>
        </w:rPr>
        <w:t>. The Issuer covenants that if any shares of Capital Stock required to be reserved for purposes of conversion of Securities hereunder require registration or listing with or approval of any governmental authority under any Federal or State law, pursuant to the Securities Act of 1933, as amended, or the Securities Exchange Act of 1934, as amended, or any national or regional securities exchange on which such Capital Stock is listed at the time of delivery of any shares of such Capital Stock, before such shares may be issued upon conversion, the Issuer will use reasonable efforts to cause such shares to be duly registered, listed or approved,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12.11 </w:t>
      </w:r>
      <w:r>
        <w:rPr>
          <w:rFonts w:ascii="Times New Roman;Times;Serif" w:hAnsi="Times New Roman;Times;Serif"/>
          <w:b w:val="false"/>
          <w:i/>
          <w:caps w:val="false"/>
          <w:smallCaps w:val="false"/>
          <w:sz w:val="20"/>
        </w:rPr>
        <w:t>Payment of Taxes Upon Certificates for Shares Issued Upon Conversion</w:t>
      </w:r>
      <w:r>
        <w:rPr>
          <w:rFonts w:ascii="Times New Roman;Times;Serif" w:hAnsi="Times New Roman;Times;Serif"/>
          <w:b w:val="false"/>
          <w:i w:val="false"/>
          <w:caps w:val="false"/>
          <w:smallCaps w:val="false"/>
          <w:sz w:val="20"/>
        </w:rPr>
        <w:t>. The issuance of certificates for shares of Capital Stock upon the conversion of Securities shall be made without charge to the converting Securityholders for any tax (including, without limitation, all documentary and stamp taxes) in respect of the issuance and delivery of such certificates, and such certificates shall be issued in the respective names of, or in such names as may be directed by, the Holders of the Securities converted; provided, however, that the Issuer shall not be required to pay any tax which may be payable in respect of any transfer involved in the issuance and delivery of any such certificate in a name other than that of the Holder of the Security converted, and the Issuer shall not be required to issue or deliver such certificates unless or until the person or persons requesting the issuance thereof shall have paid to the Issuer the amount of such tax or shall have established to the satisfaction of the Issuer that such tax has been paid.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12.12 </w:t>
      </w:r>
      <w:r>
        <w:rPr>
          <w:rFonts w:ascii="Times New Roman;Times;Serif" w:hAnsi="Times New Roman;Times;Serif"/>
          <w:b w:val="false"/>
          <w:i/>
          <w:caps w:val="false"/>
          <w:smallCaps w:val="false"/>
          <w:sz w:val="20"/>
        </w:rPr>
        <w:t>Trustee’s Duties with Respect to Conversion Provisions</w:t>
      </w:r>
      <w:r>
        <w:rPr>
          <w:rFonts w:ascii="Times New Roman;Times;Serif" w:hAnsi="Times New Roman;Times;Serif"/>
          <w:b w:val="false"/>
          <w:i w:val="false"/>
          <w:caps w:val="false"/>
          <w:smallCaps w:val="false"/>
          <w:sz w:val="20"/>
        </w:rPr>
        <w:t>. The Trustee and any conversion agent shall not at any time be under any duty or responsibility to any Securityholder to determine whether any facts exist which may require any adjustment of the conversion rate or conversion price, or with respect to the nature or extent of any such adjustment when made, or with respect to the method employed, or herein or in any supplemental indenture provided to be employed, in making the same. Neither the Trustee nor any conversion agent shall be accountable with respect to the registration under securities laws, listing, validity or value (or the kind or amount) of any shares of Capital Stock, or of any other securities or property, which may at any time be issued or delivered upon the conversion of any Security; and neither the Trustee nor any conversion agent makes any representation with respect thereto. Neither the Trustee nor any conversion agent shall be responsible for any failure of the Issuer to make any cash payment or to issue, transfer or deliver any shares of stock or stock certificates or other securities or property upon the surrender of any Security for the purpose of conversion; and the Trustee, subject to the provisions of Article 5, and any conversion agent shall not be responsible for any failure of the Issuer to comply with any of the covenants of the Issuer contained in this Article 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13.01 </w:t>
      </w:r>
      <w:r>
        <w:rPr>
          <w:rFonts w:ascii="Times New Roman;Times;Serif" w:hAnsi="Times New Roman;Times;Serif"/>
          <w:b w:val="false"/>
          <w:i/>
          <w:caps w:val="false"/>
          <w:smallCaps w:val="false"/>
          <w:sz w:val="20"/>
        </w:rPr>
        <w:t xml:space="preserve">Agreement Of Subordination. </w:t>
      </w:r>
      <w:r>
        <w:rPr>
          <w:rFonts w:ascii="Times New Roman;Times;Serif" w:hAnsi="Times New Roman;Times;Serif"/>
          <w:b w:val="false"/>
          <w:i w:val="false"/>
          <w:caps w:val="false"/>
          <w:smallCaps w:val="false"/>
          <w:sz w:val="20"/>
        </w:rPr>
        <w:t>The Issuer covenants and agrees, and each Holder of Securities issued hereunder by his acceptance thereof likewise covenants and agrees, that all Securities shall be issued subject to the provisions of this ARTICLE 13; and each Holder, whether upon original issue or upon transfer or assignment thereof, accepts and agrees to be bound by such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the principal of, premium, if any, and interest on all Securities issued hereunder shall, to the extent and in the manner hereinafter set forth, be subordinated and subject in right of payment to the prior payment in full of all Senior Indebtedness, whether outstanding at the date of this Indenture or thereafter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13 define the subordination of the Securities, as obligations of the Issuer, with respect to Senior Indebtedness of the Issuer, as defined for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ARTICLE 13 shall prevent the occurrence of any default or Event of Default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13.02 </w:t>
      </w:r>
      <w:r>
        <w:rPr>
          <w:rFonts w:ascii="Times New Roman;Times;Serif" w:hAnsi="Times New Roman;Times;Serif"/>
          <w:b w:val="false"/>
          <w:i/>
          <w:caps w:val="false"/>
          <w:smallCaps w:val="false"/>
          <w:sz w:val="20"/>
        </w:rPr>
        <w:t>Payments to Holders</w:t>
      </w:r>
      <w:r>
        <w:rPr>
          <w:rFonts w:ascii="Times New Roman;Times;Serif" w:hAnsi="Times New Roman;Times;Serif"/>
          <w:b w:val="false"/>
          <w:i w:val="false"/>
          <w:caps w:val="false"/>
          <w:smallCaps w:val="false"/>
          <w:sz w:val="20"/>
        </w:rPr>
        <w:t>. In the event and during the continuation of any default in the payment of principal, premium, interest or any other payment due on any Senior Indebtedness of the Issuer continuing beyond the period of grace, if any, specified in the instrument or lease evidencing such Senior Indebtedness of the Issuer, then, unless and until such default shall have been cured or waived or shall have ceased to exist, no payment shall be made by the Issuer with respect to the principal of, or premium, if any, or interest on the Securities, except payments made pursuant to Article 9 hereof from amounts deposited with the Trustee pursuant thereto prior to the happening of such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of the Issuer shall first be paid in full, or payment thereof provided for in money in accordance with its terms, before any payment is made on account of principal (including, if applicable, any cash due upon conversion the Securities), premium, if any, or interest on the Securities (except payments made pursuant to ARTICLE 9 hereof from amounts deposited with the Trustee pursuant thereto prior to the happening of such dissolution, winding-up, liquidation or reorganization); and upon any such dissolution or winding-up or liquidation or reorganization any payment by the Issuer, or distribution of assets of the Issuer of any kind or character, whether in cash, property or securities, to which the holders of the Securities or the Trustee would be entitled, except for the provisions of this ARTICLE 13, shall (except as aforesaid) be paid by the Issuer or by any receiver, trustee in bankruptcy, liquidating trustee, agent or other Person making such payment or distribution, or by the holders of the Securities or by the Trustee under this Indenture if received by them or it, directly to the holders of Senior Indebtedness of the Issuer (pro rata to such holders on the basis of the respective amounts of Senior Indebtedness of the Issuer held by such holders, as calculated by the Issuer) or their representative or representatives, or to the trustee or trustees under any indenture pursuant to which any instruments evidencing any Senior Indebtedness of the Issuer may have been issued, as their respective interests may appear, to the extent necessary to pay all Senior Indebtedness of the Issuer in full, in money or money’s worth, after giving effect to any concurrent payment or distribution to or for the holders of Senior Indebtedness of the Issuer, before any payment or distribution is made to the holders of the Securities or to the Trustee.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of the Issuer is paid in full, or provision is made for such payment in money in accordance with its terms, such payment or distribution shall be held in trust for the benefit of and shall be paid over or delivered to the holders of Senior Indebtedness of the Issuer or their representative or representatives, or to the trustee or trustees under any indenture pursuant to which any instruments evidencing any Senior Indebtedness of the Issuer may have been issued, as their respective interests may appear, as calculated by the Issuer, for application to the payment of all Senior Indebtedness of the Issuer remaining unpaid to the extent necessary to pay all Senior Indebtedness of the Issuer in full in money in accordance with its terms, after giving effect to any concurrent payment or distribution to or for the holders of such Senior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ARTICLE 13,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13 with respect to the Securities to the payment of all Senior Indebtedness of the Issuer which may at the time be outstanding; provided that (i) the Senior Indebtedness of the Issuer is assumed by the new corporation, if any, resulting from any such reorganization or readjustment, and (ii) the rights of the holders of the Senior Indebtedness of the Issuer (other than leases) and of leases which are assumed are not, without the consent of such holders, altered by such reorganization or readjustment. The consolidation of the Issuer with, or the merger of the Issuer into, another corporation or the liquidation or dissolution of the Issuer following the conveyance or transfer of its property as an entirety, or substantially as an entirety, to another corporation upon the terms and conditions provided for in ARTICLE 8 hereof shall not be deemed a dissolution, winding-up, liquidation or reorganization for the purposes of this Section 13.02 if such other corporation shall, as a part of such consolidation, merger, conveyance or transfer, comply with the conditions stated in ARTICLE 8 hereof. Nothing in this Section 13.02 shall apply to claims of, or payments to, the Trustee under or pursuant to Section 5.06.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13.03 </w:t>
      </w:r>
      <w:r>
        <w:rPr>
          <w:rFonts w:ascii="Times New Roman;Times;Serif" w:hAnsi="Times New Roman;Times;Serif"/>
          <w:b w:val="false"/>
          <w:i/>
          <w:caps w:val="false"/>
          <w:smallCaps w:val="false"/>
          <w:sz w:val="20"/>
        </w:rPr>
        <w:t>Subrogation Of Securities</w:t>
      </w:r>
      <w:r>
        <w:rPr>
          <w:rFonts w:ascii="Times New Roman;Times;Serif" w:hAnsi="Times New Roman;Times;Serif"/>
          <w:b w:val="false"/>
          <w:i w:val="false"/>
          <w:caps w:val="false"/>
          <w:smallCaps w:val="false"/>
          <w:sz w:val="20"/>
        </w:rPr>
        <w:t>. Subject to the payment in full of all Senior Indebtedness of the Issuer, the rights of the holders of the Securities shall be subrogated to the rights of the holders of Senior Indebtedness of the Issuer to receive payments or distributions of cash, property or securities of the Issuer applicable to the Senior Indebtedness of the Issuer until principal (including, if applicable, any cash due upon conversion the Securities), premium, if any, and interest on the Securities on the Securities shall be paid in full; and, for the purposes of such subrogation, no payments or distributions to the holders of the Senior Indebtedness of the Issuer of any cash, property or securities to which the holders of the Securities or the Trustee would be entitled except for the provisions of this ARTICLE 13 to or for the benefit of the holders of Senior Indebtedness of the Issuer by holders of the Securities or the Trustee, shall, as between the Issuer, its creditors other than holders of Senior Indebtedness of the Issuer, and the holders of the Securities, be deemed to be a payment by the Issuer to or on account of the Senior Indebtedness of the Issuer. It is understood that the provisions of this ARTICLE 13 are and are intended solely for the purpose of defining the relative rights of the holders of the Securities, on the one hand, and the holders of the Senior Indebtedness of the Issuer, on the other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ARTICLE 13 or elsewhere in this Indenture or in the Securities is intended to or shall impair, as between the Issuer, its creditors other than the holders of its Senior Indebtedness, and the holders of the Securities, the obligation of the Issuer, which is absolute and unconditional, to pay to the holders of the Securities the principal (including, if applicable, any cash due upon conversion the Securities), premium, if any, and interest on the Securities as and when the same shall become due and payable in accordance with their terms, or is intended to or shall affect the relative rights of the holders of the Securities and creditors of the Issuer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13 of the holders of Senior Indebtedness of the Issuer in respect of cash, property or securities of the Issuer received upon the exercise of any such remedy.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payment or distribution of assets of the Issuer referred to in this ARTICLE 13, the Trustee, subject to the provisions of Section 5.01,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Issuer, the amount thereof or payable thereon, the amount or amounts paid or distributed thereon and all other facts pertinent thereto or to this ARTICLE 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13.04 </w:t>
      </w:r>
      <w:r>
        <w:rPr>
          <w:rFonts w:ascii="Times New Roman;Times;Serif" w:hAnsi="Times New Roman;Times;Serif"/>
          <w:b w:val="false"/>
          <w:i/>
          <w:caps w:val="false"/>
          <w:smallCaps w:val="false"/>
          <w:sz w:val="20"/>
        </w:rPr>
        <w:t>Authorization By Holders</w:t>
      </w:r>
      <w:r>
        <w:rPr>
          <w:rFonts w:ascii="Times New Roman;Times;Serif" w:hAnsi="Times New Roman;Times;Serif"/>
          <w:b w:val="false"/>
          <w:i w:val="false"/>
          <w:caps w:val="false"/>
          <w:smallCaps w:val="false"/>
          <w:sz w:val="20"/>
        </w:rPr>
        <w:t>. Each holder of a Security by his or her acceptance thereof authorizes and directs the Trustee on his or her behalf to take such action as may be necessary or appropriate to effectuate the subordination provided in this ARTICLE 13 appoints the Trustee his attorney-in-fact for any and all such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13.05 </w:t>
      </w:r>
      <w:r>
        <w:rPr>
          <w:rFonts w:ascii="Times New Roman;Times;Serif" w:hAnsi="Times New Roman;Times;Serif"/>
          <w:b w:val="false"/>
          <w:i/>
          <w:caps w:val="false"/>
          <w:smallCaps w:val="false"/>
          <w:sz w:val="20"/>
        </w:rPr>
        <w:t>Notice to Trustee</w:t>
      </w:r>
      <w:r>
        <w:rPr>
          <w:rFonts w:ascii="Times New Roman;Times;Serif" w:hAnsi="Times New Roman;Times;Serif"/>
          <w:b w:val="false"/>
          <w:i w:val="false"/>
          <w:caps w:val="false"/>
          <w:smallCaps w:val="false"/>
          <w:sz w:val="20"/>
        </w:rPr>
        <w:t xml:space="preserve">. The Issuer shall give promptly written notice to a Responsible Officer of the Trustee of any fact known to the Issuer which would prohibit the making of any payment of monies to or by the Trustee in respect of the Securities pursuant to the provisions of this ARTICLE 13. Notwithstanding the provisions of this ARTICLE 13 or any other provision of this Indenture, the Trustee shall not be charged with knowledge of the existence of any facts which would prohibit the making of any payment of amounts to or by the Trustee in respect of the Securities pursuant to the provisions of this ARTICLE 13, unless and until a Responsible Officer of the Trustee shall have received written notice thereof at the Corporate Trust Office of the Trustee from the Issuer or a holder or holders of Senior Indebtedness or from any trustee therefor; and before the receipt of any such written notice, the Trustee, subject to the provisions of Section 5.01, shall be entitled in all respects to assume that no such facts exist;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on a date not fewer than three Business Days prior to the date upon which by the terms hereof any such amounts may become payable for any purpose (including, without limitation, the payment of principal (including, if applicable, any cash due upon conversion of the Securities), premium, if any, and interest on any Security) the Trustee shall not have received, with respect to such monies, the notice provided for in this Section 13.05, then, anything herein contained to the contrary notwithstanding, the Trustee shall have full power and authority to receive such amounts and to apply the same to the purpose for which they were received, and shall not be affected by any notice to the contrary which may be received by it on or after such prior date. Notwithstanding anything to the contrary hereinbefore set forth, nothing shall prevent any payment or delivery by the Issuer or the Trustee to the Holders of amounts in connection with a redemption of Securities if (i) notice of such redemption has been given pursuant to ARTICLE 11 or Section 9.01 hereof prior to the receipt by the Trustee of written notice as aforesaid, and (ii) such notice of redemption is given not earlier than 60 days before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conclusively shall be entitled to rely on the delivery to it of a written notice by a Person representing himself to be a holder of Senior Indebtedness of the Issuer (or a trustee on behalf of such holder) to establish that such notice has been given by a holder of Senior Indebtedness of the Issuer or a trustee on behalf of any such holder or holders. In the event that the Trustee determines in good faith that further evidence is required with respect to the right of any Person as a holder of Senior Indebtedness of the Issuer to participate in any payment or distribution pursuant to this ARTICLE 13, the Trustee may request such Person to furnish evidence to the reasonable satisfaction of the Trustee as to the amount of Senior Indebtedness of the Issuer held by such Person, the extent to which such Person is entitled to participate in such payment or distribution and any other facts pertinent to the rights of such Person under this ARTICLE 13, and if such evidence is not furnished the Trustee may defer any payment to such Person pending judicial determination as to the right of such Person to receive such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13.06 </w:t>
      </w:r>
      <w:r>
        <w:rPr>
          <w:rFonts w:ascii="Times New Roman;Times;Serif" w:hAnsi="Times New Roman;Times;Serif"/>
          <w:b w:val="false"/>
          <w:i/>
          <w:caps w:val="false"/>
          <w:smallCaps w:val="false"/>
          <w:sz w:val="20"/>
        </w:rPr>
        <w:t>Trustee’s Relation to Senior Indebtedness</w:t>
      </w:r>
      <w:r>
        <w:rPr>
          <w:rFonts w:ascii="Times New Roman;Times;Serif" w:hAnsi="Times New Roman;Times;Serif"/>
          <w:b w:val="false"/>
          <w:i w:val="false"/>
          <w:caps w:val="false"/>
          <w:smallCaps w:val="false"/>
          <w:sz w:val="20"/>
        </w:rPr>
        <w:t>. The Trustee in its individual capacity shall be entitled to all the rights set forth in this ARTICLE 13 in respect of any Senior Indebtedness of the Issuer at any time held by it, to the same extent as any other holder of Senior Indebtedness of the Issuer and nothing elsewhere in this Indenture shall deprive the Trustee of any of its rights as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holders of Senior Indebtedness of the Issuer, the Trustee undertakes to perform or to observe only such of its covenants and obligations as are specifically set forth in this ARTICLE 13, and no implied covenants or obligations with respect to the holders of Senior Indebtedness of the Issuer shall be read into this Indenture against the Trustee. The Trustee shall not be deemed to owe any fiduciary duty to the holders of Senior Indebtedness of the Issuer and the Trustee shall not be liable to any holder of Senior Indebtedness of the Issuer if it shall pay over or deliver to holders of Securities, the Issuer or any other Person money or assets to which any holder of Senior Indebtedness of the Issuer shall be entitled by virtue of this ARTICLE 13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13.07 </w:t>
      </w:r>
      <w:r>
        <w:rPr>
          <w:rFonts w:ascii="Times New Roman;Times;Serif" w:hAnsi="Times New Roman;Times;Serif"/>
          <w:b w:val="false"/>
          <w:i/>
          <w:caps w:val="false"/>
          <w:smallCaps w:val="false"/>
          <w:sz w:val="20"/>
        </w:rPr>
        <w:t>No Impairment Of Subordination</w:t>
      </w:r>
      <w:r>
        <w:rPr>
          <w:rFonts w:ascii="Times New Roman;Times;Serif" w:hAnsi="Times New Roman;Times;Serif"/>
          <w:b w:val="false"/>
          <w:i w:val="false"/>
          <w:caps w:val="false"/>
          <w:smallCaps w:val="false"/>
          <w:sz w:val="20"/>
        </w:rPr>
        <w:t>. No right of any present or future holder of any Senior Indebtedness to enforce subordination as herein provided shall at any time in any way be prejudiced or impaired by any act or failure to act on the part of the Issuer or by any act or failure to act, in good faith, by any such holder, or by any noncompliance by the Issuer with the terms, provisions and covenants of this Indenture, regardless of any knowledge thereof which any such holder may have or otherwise be charged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13.08 </w:t>
      </w:r>
      <w:r>
        <w:rPr>
          <w:rFonts w:ascii="Times New Roman;Times;Serif" w:hAnsi="Times New Roman;Times;Serif"/>
          <w:b w:val="false"/>
          <w:i/>
          <w:caps w:val="false"/>
          <w:smallCaps w:val="false"/>
          <w:sz w:val="20"/>
        </w:rPr>
        <w:t>Rights Of Trustee</w:t>
      </w:r>
      <w:r>
        <w:rPr>
          <w:rFonts w:ascii="Times New Roman;Times;Serif" w:hAnsi="Times New Roman;Times;Serif"/>
          <w:b w:val="false"/>
          <w:i w:val="false"/>
          <w:caps w:val="false"/>
          <w:smallCaps w:val="false"/>
          <w:sz w:val="20"/>
        </w:rPr>
        <w:t>. Nothing in this ARTICLE 13 shall apply to claims of or payments to, the Trustee pursuant to Section 5.06.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first date written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as Issuer</w:t>
      </w:r>
    </w:p>
    <w:p>
      <w:pPr>
        <w:pStyle w:val="TextBody"/>
        <w:bidi w:val="0"/>
        <w:spacing w:before="0" w:after="0"/>
        <w:ind w:left="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as Trustee</w:t>
      </w:r>
    </w:p>
    <w:p>
      <w:pPr>
        <w:pStyle w:val="TextBody"/>
        <w:bidi w:val="0"/>
        <w:spacing w:before="0" w:after="0"/>
        <w:ind w:left="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DEPOSITORY OR A NOMINEE OF SUCH SUCCESSOR DEPOSITARY. UNLESS THIS SECURITY IS PRESENTED BY AN AUTHORIZED REPRESENTATIVE OF THE DEPOSITORY TRUST COMPANY, A NEW YORK CORPORATION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THE COMPANY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Subordinated Note Due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CUSIP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2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a Delaware corporation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which term includes any successor corporation), for value received promises to pay to CEDE &amp; CO. or its registered assigns, the principal sum of ● 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 and ● (each, an “</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commencing on ●. Interest Record Dates: ● and ● (each, an “</w:t>
      </w:r>
      <w:r>
        <w:rPr>
          <w:rFonts w:ascii="Times New Roman;Times;Serif" w:hAnsi="Times New Roman;Times;Serif"/>
          <w:b/>
          <w:i w:val="false"/>
          <w:caps w:val="false"/>
          <w:smallCaps w:val="false"/>
          <w:sz w:val="20"/>
        </w:rPr>
        <w:t>Interest 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Security contained herein, which will for all purposes have the same effect as if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Security to be signed manually or by facsimile by its duly authorized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p>
      <w:pPr>
        <w:pStyle w:val="TextBody"/>
        <w:bidi w:val="0"/>
        <w:spacing w:before="0" w:after="0"/>
        <w:ind w:left="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series designated herein and referred to in the within-mentioned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as Trustee</w:t>
      </w:r>
    </w:p>
    <w:p>
      <w:pPr>
        <w:pStyle w:val="TextBody"/>
        <w:bidi w:val="0"/>
        <w:spacing w:before="0" w:after="0"/>
        <w:ind w:left="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SECURITY)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p>
      <w:pPr>
        <w:pStyle w:val="TextBody"/>
        <w:bidi w:val="0"/>
        <w:spacing w:before="0" w:after="0"/>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 Subordinated Note Due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a Delaware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promises to pay interest on the Principal amount of this Security at the rate per annum shown above. Cash interest on the Securities will accrue from the most recent date to which interest has been paid or, if no interest has been paid, from ●. The Issuer will pay interest semi-annually in arrears on each Interest Payment Date, commencing ●. Interest will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overdue Principal from time to time on demand at the rate borne by the Securities and on overdue installments of interest (without regard to any applicable grace periods) to the extent 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Method of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w:t>
      </w:r>
      <w:r>
        <w:rPr>
          <w:rFonts w:ascii="Times New Roman;Times;Serif" w:hAnsi="Times New Roman;Times;Serif"/>
          <w:b/>
          <w:i w:val="false"/>
          <w:caps w:val="false"/>
          <w:smallCaps w:val="false"/>
          <w:sz w:val="20"/>
        </w:rPr>
        <w:t>U.S. Legal Tender</w:t>
      </w:r>
      <w:r>
        <w:rPr>
          <w:rFonts w:ascii="Times New Roman;Times;Serif" w:hAnsi="Times New Roman;Times;Serif"/>
          <w:b w:val="false"/>
          <w:i w:val="false"/>
          <w:caps w:val="false"/>
          <w:smallCaps w:val="false"/>
          <w:sz w:val="20"/>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will act as Paying Agent. The Issuer may change any Paying Agent without notice to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the Securities under an Indenture, dated as of ●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Issuer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indebtedness of the Issuer evidenced by this Security, including the Principal hereof and interest hereon, is, to the extent and in the manner set forth in the Indenture, subordinate and junior in right of payment to the Company’s obligations to holders of Senior Indebtedness of the Issuer and each Holder of this Security, by acceptance hereof, agrees to and shall be bound by such provisions of the Indenture and all other provisions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Denominations; Transfer;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in registered form, without coupons, in denominations of $1,000 and multiples of $1,000.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such series is selected for redemption, nor need the Issuer register the transfer or exchange of any security selected for redemption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Persons Deemed Owners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a Security shall be treated as the owner of it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Unclaimed Funds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Legal Defeasance and Covenant Defeasance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be discharged from its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Amendment; Supplement;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Trust Indenture Act, or make any other change that does not adversely affect the rights of any Holder of 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Defaults and Remedies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(other than certain bankruptcy Events of Default with respect to the Issuer)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Indenture, including, without limitation, provisions giving the Holder of this Security the right to convert this Security into Capital Stock of the Issuer on the terms and subject to the limitations as more fully specified in the Indenture. The initial conversion rate for this Security is ●. This conversion rate is subject to modification as provided in the Indenture. Such further provisions shall for all purposes have the same effect as though fully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Trustee Dealings with Issuer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under the Indenture, in its individual or any other capacity, may become the owner or pledgee of Securities and may otherwise deal with the Issuer as if it were not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 Recourse Against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stockholder, director, officer, employee or incorporator, as such, of the Issuer or any successor Person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Authentication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not be valid until the Trustee manually signs the certificate of authentication on this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Abbreviations and Defined Terms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New York shall govern the Indenture and this Security thereof.</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tbl>
      <w:tblPr>
        <w:tblW w:w="6170" w:type="dxa"/>
        <w:jc w:val="left"/>
        <w:tblInd w:w="0" w:type="dxa"/>
        <w:tblLayout w:type="fixed"/>
        <w:tblCellMar>
          <w:top w:w="0" w:type="dxa"/>
          <w:left w:w="0" w:type="dxa"/>
          <w:bottom w:w="0" w:type="dxa"/>
          <w:right w:w="0" w:type="dxa"/>
        </w:tblCellMar>
      </w:tblPr>
      <w:tblGrid>
        <w:gridCol w:w="6170"/>
      </w:tblGrid>
      <w:tr>
        <w:trPr/>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tc>
      </w:tr>
      <w:tr>
        <w:trPr/>
        <w:tc>
          <w:tcPr>
            <w:tcW w:w="617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name, address and zip code of assignee or transferee)</w:t>
            </w:r>
          </w:p>
        </w:tc>
      </w:tr>
      <w:tr>
        <w:trPr/>
        <w:tc>
          <w:tcPr>
            <w:tcW w:w="61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Social Security or other identifying number of assignee or transferee)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 agent to transfer this Security on the books of the Issuer. The agent may substitute another to act for him.</w:t>
      </w:r>
    </w:p>
    <w:p>
      <w:pPr>
        <w:pStyle w:val="TextBody"/>
        <w:bidi w:val="0"/>
        <w:spacing w:before="0" w:after="0"/>
        <w:jc w:val="center"/>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575"/>
        <w:gridCol w:w="60"/>
        <w:gridCol w:w="60"/>
        <w:gridCol w:w="6065"/>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(Signed exactly as name appears on the other side of this Security)</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1"/>
        <w:gridCol w:w="8704"/>
      </w:tblGrid>
      <w:tr>
        <w:trPr/>
        <w:tc>
          <w:tcPr>
            <w:tcW w:w="15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870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1" w:type="dxa"/>
            <w:tcBorders/>
            <w:vAlign w:val="center"/>
          </w:tcPr>
          <w:p>
            <w:pPr>
              <w:pStyle w:val="TableContents"/>
              <w:bidi w:val="0"/>
              <w:spacing w:before="0" w:after="283"/>
              <w:jc w:val="left"/>
              <w:rPr>
                <w:caps w:val="false"/>
                <w:smallCaps w:val="false"/>
              </w:rPr>
            </w:pPr>
            <w:r>
              <w:rPr>
                <w:caps w:val="false"/>
                <w:smallCaps w:val="false"/>
              </w:rPr>
              <w:t> </w:t>
            </w:r>
          </w:p>
        </w:tc>
        <w:tc>
          <w:tcPr>
            <w:tcW w:w="87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 Guarantee Medallion Program (or other signature guarantor program reasonably acceptable to the Trustee)</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39" w:name="ex5-1.htm"/>
      <w:bookmarkStart w:id="40" w:name="ksex51"/>
      <w:bookmarkEnd w:id="39"/>
      <w:bookmarkEnd w:id="4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828800" cy="5575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3"/>
                    <a:stretch>
                      <a:fillRect/>
                    </a:stretch>
                  </pic:blipFill>
                  <pic:spPr bwMode="auto">
                    <a:xfrm>
                      <a:off x="0" y="0"/>
                      <a:ext cx="1828800" cy="55753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1415" w:type="dxa"/>
        <w:jc w:val="left"/>
        <w:tblInd w:w="0" w:type="dxa"/>
        <w:tblLayout w:type="fixed"/>
        <w:tblCellMar>
          <w:top w:w="0" w:type="dxa"/>
          <w:left w:w="0" w:type="dxa"/>
          <w:bottom w:w="0" w:type="dxa"/>
          <w:right w:w="0" w:type="dxa"/>
        </w:tblCellMar>
      </w:tblPr>
      <w:tblGrid>
        <w:gridCol w:w="75"/>
        <w:gridCol w:w="13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5818 El Camino Real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Carlsbad, California 92008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Shelf Registration on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to you in connection with the Registration Statement on Form S-3 (the “Registration Statement”), including the base prospectus that is part of the Registration Statement (the “Prospectus”) and the sales agreement prospectus that is part of the Registration Statement (the “ATM Prospectus”), filed by Aptera Motors Corp., a Delaware corporation (the “Company”), with the Securities and Exchange Commission (the “Commission”) on October 1, 2026 under the Securities Act of 1933, as amended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provides that it will be supplemented in the future by one or more prospectus supplements (each, a “Prospectus Supplement”). The Prospectus, as supplemented by the various Prospectus Supplements, will provide for the issuance and sale by the Company from time to time of up to $250,000,000 aggregate offering price of (i) shares of the Company’s Class B common stock, par value $0.0001 per share (the “Common Stock”), (ii) shares of the Company’s preferred stock, par value $0.0001 per share (the “Preferred Stock”), in one or more series or classes, (iii) warrants to purchase shares of Common Stock or Preferred Stock or other securities (the “Warrants”), (iv) the Company’s senior debt securities and subordinated debt securities (collectively, the “Debt Securities”), which may be issued pursuant to a senior debt indenture (the “Senior Debt Indenture”) between the Company and the trustee to be named therein (the “Senior Debt Trustee”) and a subordinated debt indenture (the “Subordinated Debt Indenture,” and together with the Senior Debt Indenture, the “Indentures”) between the Company and the trustee to be named therein (the “Subordinated Debt Trustee” and, together with the Senior Debt Trustee, the “Trustees”), (v) subscription rights to purchase Common Stock, Preferred Stock or Debt Securities (the “Subscription Rights”) or (vi) units composed of any of the foregoing (the “Units”). The Common Stock, Preferred Stock, Warrants, Debt Securities, Subscription Rights and Units are collectively referred to herein as the “Securities.” The Warrants may be issued pursuant to a warrant agreement (the “Warrant Agreement”) between the Company and a bank or trust company as warrant agent. Any Preferred Stock may be exchangeable for and/or convertible into shares of Common Stock or another series of Preferred Stock. Any Debt Securities may be exchangeable and/or convertible into shares of Common Stock or Preferred Stock. The Units may be issued pursuant to a Unit Agreement (the “Unit Agreement”) between the Company and a bank or trust company as unit agent. The Securities are being registered for offering and sale from time to time pursuant to Rule 415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Prospectus relates to the sale by the Company of shares of Common Stock having an aggregate offering price of up to $19,000,000 (the “ATM Shares”) under a Controlled Equity Offering</w:t>
      </w:r>
      <w:r>
        <w:rPr>
          <w:rFonts w:ascii="Times New Roman;Times;Serif" w:hAnsi="Times New Roman;Times;Serif"/>
          <w:b w:val="false"/>
          <w:i w:val="false"/>
          <w:caps w:val="false"/>
          <w:smallCaps w:val="false"/>
          <w:position w:val="7"/>
          <w:sz w:val="16"/>
          <w:sz w:val="20"/>
        </w:rPr>
        <w:t xml:space="preserve">SM </w:t>
      </w:r>
      <w:r>
        <w:rPr>
          <w:rFonts w:ascii="Times New Roman;Times;Serif" w:hAnsi="Times New Roman;Times;Serif"/>
          <w:b w:val="false"/>
          <w:i w:val="false"/>
          <w:caps w:val="false"/>
          <w:smallCaps w:val="false"/>
          <w:sz w:val="20"/>
        </w:rPr>
        <w:t xml:space="preserve">Sales Agreement dated as of October 1, 2026 between the Company and Cantor Fitzgerald &amp; Co. (the “Sales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our opinions set forth below, we have reviewed the Registration Statement and the exhibits thereto. We have also reviewed such corporate documents and records of the Company, such certificates of public officials and officers of the Company and such other matters as we have deemed necessary or appropriate for purposes of this opinion. 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and (iv)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any facts material to the opinions expressed herein that were not independently established or verified, we have relied upon oral or written statements and representations of officers and other representatives of the Company.</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assumptions, limitations and qualifications set forth herein, we are of the opinion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shares of Common Stock (other than the ATM Shares), when (a) the issuance and the terms of the sale of the shares of Common Stock have been duly authorized by the Board of Directors of the Company or a duly authorized committee thereof in conformity with the Company’s amended and restated certificate of incorporation and amended and restated bylaws; (b) such shares have been issued and delivered against payment of the purchase price therefor in an amount at least equal to the par value thereof, in accordance with the applicable definitive purchase, underwriting or similar agreement, and as contemplated by the Registration Statement, the Prospectus and the related Prospectus Supplement; and (c) to the extent such shares of Common Stock are to be issued upon the conversion, exchange or exercise of any Preferred Stock, Warrants, Debt Securities, Subscription Rights or Units, when such shares have been duly issued and delivered as contemplated by the terms of the applicable Preferred Stock, the Warrant Agreement relating to such Warrants, the Indenture relating to such Debt Securities, such Subscription Rights or the Unit Agreement relating to such Units, respectively, the shares of Common Stock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With respect to the ATM Shares, (a) when the Registration Statement has become effective under the Securities Act, and (b) when the ATM Shares have been issued and sold in accordance with the Sales Agreement, and as described in the Registration Statement and ATM Prospectus, the ATM Shares will be validly issued, fully paid and nonassessable.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 respect to any particular series of shares of Preferred Stock, when (a) the issuance and the terms of the sale of the shares of Preferred Stock have been duly authorized by the Board of Directors of the Company or a duly authorized committee thereof in conformity with the Company’s amended and restated certificate of incorporation and amended and restated bylaws; (b) an appropriate certificate of designation relating to a series of the Preferred Stock to be sold under the Registration Statement has been duly authorized and adopted and filed with the Secretary of State of Delaware; (c) the terms of issuance and sale of shares of such series of Preferred Stock have been duly established in conformity with the Company’s amended and restated certificate of incorporation, amended and restated bylaws and any resolutions adopted by the Board of Directors of the Company so as not to violate such resolutions of the Board of Directors of the Company or any applicable law or result in a default under or breach of any agreement or instrument binding upon the Company and comply with any requirement or restriction imposed by any court or governmental body having jurisdiction over the Company or any of its property; (d) such shares have been issued and delivered against payment of the purchase price therefor in an amount at least equal to the par value thereof, in accordance with the applicable definitive purchase, underwriting or similar agreement, and as contemplated by the Registration Statement, the Prospectus and the related Prospectus Supplement; and (e) to the extent such shares of Preferred Stock are to be issued upon the conversion, exchange or exercise of any Preferred Stock, Warrants, Debt Securities, Subscription Rights or Units, when such shares have been duly issued and delivered as contemplated by the terms of the applicable Preferred Stock, the Warrant Agreement relating to such Warrants, the Indenture relating to such Debt Securities, such Subscription Rights, or the Unit Agreement relating to such Units, respectively, the shares of Preferred Stock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With respect to Warrants, when (a) the issuance and the terms of the sale of the Warrants have been duly authorized by the Board of Directors of the Company or a duly authorized committee thereof; (b) the terms of the Warrants and of their issuance and sale have been duly established in conformity with the Company’s amended and restated certificate of incorporation, amended and restated bylaws and any resolutions adopted by the Board of Directors of the Company so as not to violate such resolutions of the Board of Directors of the Company or any applicable law or result in a default under or breach of any agreement or instrument binding upon the Company and comply with any requirement or restriction imposed by any court or governmental body having jurisdiction over the Company or any of its property; (c) the Warrants and the applicable Warrant Agreement relating to the Warrants, if any, have been duly executed and countersigned and the Warrants have been issued and sold in accordance with the applicable definitive purchase, underwriting or similar agreement, as contemplated by the Registration Statement, the Prospectus and the related Prospectus Supplement; and (d) the Company has received the applicable consideration for the Warrants as contemplated by the Registration Statement, the Prospectus and the related Prospectus Supplement(s), the Warrants will constitute valid and binding obligations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With respect to Debt Securities, when (a) the issuance and the terms of the sale of the Debt Securities have been duly authorized by the Board of Directors of the Company or a duly authorized committee thereof; (b) the terms of the Debt Securities and of their issuance and sale have been duly established in conformity with any resolutions adopted by the Board of Directors of the Company so as not to violate such resolutions of the Board of Directors of the Company or any applicable law or result in a default under or breach of any agreement or instrument binding upon the Company and comply with any requirement or restriction imposed by any court or governmental body having jurisdiction over the Company or any of its property; (c) the Debt Securities and the applicable Indenture relating to the Debt Securities have been duly executed and countersigned and in the case of the Indenture, duly authenticated by the applicable Trustee, and the Debt Securities have been issued and sold as contemplated by the Registration Statement, the Prospectus and the related Prospectus Supplement; and (d) the Company has received the applicable consideration for the Debt Securities as contemplated by the Registration Statement, the Prospectus and the related Prospectus Supplement(s), the Debt Securities will constitute valid and binding obligations of the Company.</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With respect to the Subscription Rights, when: (a) the issuance and the terms of the sale of the Subscription Rights have been duly authorized by the Board of Directors of the Company or a duly authorized committee thereof; (b) the terms of the Subscription Rights and of their issuance and sale have been duly established in conformity with any resolutions adopted by the Board of Directors of the Company so as not to violate such resolutions of the Board of Directors of the Company or any applicable law or result in a default under or breach of any agreement or instrument binding upon the Company and comply with any requirement or restriction imposed by any court or governmental body having jurisdiction over the Company or any of its property; and (c) the agreement(s) relating to the Subscription Rights have been duly authorized and validly executed and delivered by the Company, then the Subscription Rights will be valid and binding obligations of the Company, enforceable against the Company in accordance with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With respect to Units, when (a) the issuance and the terms of the sale of the Units have been duly authorized by the Board of Directors of the Company or a duly authorized committee thereof; (b) the terms of the Units and of their issuance and sale have been duly established in conformity with any resolutions adopted by the Board of Directors of the Company so as not to violate such resolutions of the Board of Directors of the Company or any applicable law or result in a default under or breach of any agreement or instrument binding upon the Company and comply with any requirement or restriction imposed by any court or governmental body having jurisdiction over the Company or any of its property; (c) the Unit Agreement and the Units, if any, have been duly executed and countersigned and the Units have been issued and sold in accordance with the applicable Unit Agreement, as contemplated by the Registration Statement, the Prospectus and the related Prospectus Supplement; and (d) the Company has received the applicable consideration for the Units as contemplated by the Registration Statement, the Prospectus and the related Prospectus Supplement(s), the Units will constitute valid and binding obligations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above, we have assumed that (i) the Registration Statement (and any applicable post-effective amendment thereto) will have become effective under the Securities Act, a Prospectus Supplement will have been prepared and filed with the Commission describing the Securities offered thereby and such Securities will have been issued and sold in accordance with the terms of such Prospectus Supplement and in compliance with all applicable laws; and (ii) a definitive purchase, underwriting or similar agreement with respect to such Securities (if applicable) will have been duly authorized, executed and delivered by the Company and the other parties thereto; (iii) the Securities will be duly authorized by all necessary corporate action by the Company and any agreement pursuant to which such Securities may be issued will be duly authorized, executed and delivered by the Company and the other parties thereto; (iv) the Company will remain duly organized, validly existing and in good standing under applicable state law; and (v) the Company has reserved a sufficient number of shares of its duly authorized, but unissued, Common Stock and Preferred Stock as is necessary to provide for the issuance of the shares of Common Stock and Preferred Stock pursuant to the Registration Statement, the Prospectus and the related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are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including without limitation, concepts of materiality, reasonableness, good faith and fair dealing and the possible unavailability of specific performance or injunctive relief, regardless of whether enforcement is considered in a proceeding in equity or at law, and the discretion of the court before which any proceeding therefor may be brought; and (iii) the unenforceability under certain circumstances under law or court decisions of provisions providing for the indemnification of, or contribution to, a party with respect to liability where such indemnification or contribution is contrary to public policy. We express no opinion concerning the enforceability of any waiver of rights or defenses with respect to stay, extension or usury laws. Our opinion expressed herein is also subject to the qualification that no term or provision shall be included in any certificate of designation relating to any series of the Preferred Stock, Warrant Agreement, Indenture, Subscription Rights, Unit Agreement or any other agreement or instrument pursuant to which any of the Securities are to be issued that would affect the validity of such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federal laws of the United States, the General Corporation Law of the State of Delaware (including reported judicial decisions interpreting the General Corporation Law of the State of Delaware) and the State of New York. We express no opinion as to the effect of the law of any other jurisdiction. Our opinion is rendered as of the date hereof, and we assume no obligation to advise you of changes in law or fact (or the effect thereof on the opinions expressed herein) that hereafter may come to our attention.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this opinion as Exhibit 5.1 to the Registration Statement and to the references to our firm therein and in the Prospectus and the ATM Prospectus, and in any Prospectus Supplement under the caption “Legal Matters.” In giving our consent, we do not admit that we are in the category of persons whose consent is required under Section 7 of the Securities Act or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Lowenstein Sandler LLP</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caps w:val="false"/>
          <w:smallCaps w:val="false"/>
        </w:rPr>
      </w:pPr>
      <w:bookmarkStart w:id="41" w:name="ex23-1.htm"/>
      <w:bookmarkStart w:id="42" w:name="ksex231"/>
      <w:bookmarkEnd w:id="41"/>
      <w:bookmarkEnd w:id="42"/>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 dated March 30, 2026, related to the consolidated financial statements of Aptera Motors Corp. as of December 31, 2025 and 2024 and for the years then ended, which includes an explanatory paragraph regarding substantial doubt about Aptera Motors Corp.’s ability to continue as a going concern. We also consent to the reference to our firm under the caption “Experts” in each of the prospectuses included in this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dbb</w:t>
      </w:r>
      <w:r>
        <w:rPr>
          <w:rFonts w:ascii="Times New Roman;Times;Serif" w:hAnsi="Times New Roman;Times;Serif"/>
          <w:b w:val="false"/>
          <w:i/>
          <w:caps w:val="false"/>
          <w:smallCaps w:val="false"/>
          <w:sz w:val="20"/>
        </w:rPr>
        <w:t>mckennon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3" w:name="ex107.htm"/>
      <w:bookmarkStart w:id="44" w:name="ksex107"/>
      <w:bookmarkStart w:id="45" w:name="ex107.htm"/>
      <w:bookmarkStart w:id="46" w:name="ksex107"/>
      <w:bookmarkEnd w:id="45"/>
      <w:bookmarkEnd w:id="46"/>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Aptera Motors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34" w:type="dxa"/>
        <w:jc w:val="left"/>
        <w:tblInd w:w="0" w:type="dxa"/>
        <w:tblLayout w:type="fixed"/>
        <w:tblCellMar>
          <w:top w:w="28" w:type="dxa"/>
          <w:left w:w="28" w:type="dxa"/>
          <w:bottom w:w="28" w:type="dxa"/>
          <w:right w:w="28" w:type="dxa"/>
        </w:tblCellMar>
      </w:tblPr>
      <w:tblGrid>
        <w:gridCol w:w="1126"/>
        <w:gridCol w:w="226"/>
        <w:gridCol w:w="1246"/>
        <w:gridCol w:w="1291"/>
        <w:gridCol w:w="1276"/>
        <w:gridCol w:w="1186"/>
        <w:gridCol w:w="1156"/>
        <w:gridCol w:w="178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Class B Common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Preferred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29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Subscription 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$ 250,000,000.00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$ 21,750.00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7" w:name="MaxAggtOfferingPrice"/>
            <w:bookmarkEnd w:id="47"/>
            <w:r>
              <w:rPr/>
              <w:t xml:space="preserve">$ 250,000,000.00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8" w:name="TotalFeeAmt"/>
            <w:bookmarkEnd w:id="48"/>
            <w:r>
              <w:rPr/>
              <w:t xml:space="preserve">$ 21,750.00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9" w:name="TotalPreviouslyPaidAmt"/>
            <w:bookmarkEnd w:id="4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0" w:name="TotalOffsetAmt"/>
            <w:bookmarkEnd w:id="5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1" w:name="NetFeeAmt"/>
            <w:bookmarkEnd w:id="51"/>
            <w:r>
              <w:rPr/>
              <w:t xml:space="preserve">$ 21,750.00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9"/>
        <w:gridCol w:w="8707"/>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An indeterminate aggregate initial offering price or number or amount of the securities of each identified class is being registered as may from time to time be offered under this registration statement at indeterminate prices, along with an indeterminate number or amount of securities that may be issued upon exercise, settlement, exchange or conversion of securities offered or sold under this registration statement, as shall have an aggregate initial offering price up to $250,000,000. Pursuant to Rule 416 under the Securities Act of 1933, as amended (the "Securities Act"), this registration statement also covers any additional securities that may be offered or issued in connection with any share split, share dividend or pursuant to anti-dilution provisions of any of the securities. Separate consideration may or may not be received for securities that are issuable upon conversion, exercise or exchange of other securities. In addition, the total amount to be registered and the proposed maximum aggregate offering price are estimated solely for the purpose of calculating the registration fee pursuant to Rule 457(o) under the Securities Act. The proposed maximum offering price per security will be determined from time to time by the Registrant in connection with the issuance by the Registrant of the securities registered hereunder and is not specified as to each class of security pursuant to General Instruction II.D. of Form S-3 under the Securities Act Each unit will consist of one or more Class B common shares, preferred shares, warrants, debt securities, subscription rights or any combination of such securities, which may or may not be separable from one another.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86471/000149315226013581/form10-k.htm" TargetMode="External"/><Relationship Id="rId4" Type="http://schemas.openxmlformats.org/officeDocument/2006/relationships/hyperlink" Target="https://www.sec.gov/Archives/edgar/data/1786471/000149315226022732/form10-q.htm" TargetMode="External"/><Relationship Id="rId5" Type="http://schemas.openxmlformats.org/officeDocument/2006/relationships/hyperlink" Target="https://www.sec.gov/Archives/edgar/data/1786471/000149315226037373/form10-q.htm" TargetMode="External"/><Relationship Id="rId6" Type="http://schemas.openxmlformats.org/officeDocument/2006/relationships/hyperlink" Target="https://www.sec.gov/Archives/edgar/data/1786471/000149315226003512/form8-k.htm" TargetMode="External"/><Relationship Id="rId7" Type="http://schemas.openxmlformats.org/officeDocument/2006/relationships/hyperlink" Target="https://www.sec.gov/Archives/edgar/data/1786471/000149315226009780/form8-k.htm" TargetMode="External"/><Relationship Id="rId8" Type="http://schemas.openxmlformats.org/officeDocument/2006/relationships/hyperlink" Target="https://www.sec.gov/Archives/edgar/data/1786471/000149315226016473/form8-k.htm" TargetMode="External"/><Relationship Id="rId9" Type="http://schemas.openxmlformats.org/officeDocument/2006/relationships/hyperlink" Target="https://www.sec.gov/Archives/edgar/data/1786471/000149315226032258/form8-k.htm" TargetMode="External"/><Relationship Id="rId10" Type="http://schemas.openxmlformats.org/officeDocument/2006/relationships/hyperlink" Target="https://www.sec.gov/Archives/edgar/data/1786471/000149315226033058/form8-k.htm" TargetMode="External"/><Relationship Id="rId11" Type="http://schemas.openxmlformats.org/officeDocument/2006/relationships/hyperlink" Target="https://www.sec.gov/Archives/edgar/data/1786471/000149315226037987/form8-k.htm" TargetMode="External"/><Relationship Id="rId12" Type="http://schemas.openxmlformats.org/officeDocument/2006/relationships/hyperlink" Target="https://www.sec.gov/Archives/edgar/data/1786471/000149315226039512/form8-k.htm" TargetMode="External"/><Relationship Id="rId13" Type="http://schemas.openxmlformats.org/officeDocument/2006/relationships/hyperlink" Target="https://www.sec.gov/Archives/edgar/data/1786471/000149315226045258/form8-k.htm" TargetMode="External"/><Relationship Id="rId14" Type="http://schemas.openxmlformats.org/officeDocument/2006/relationships/hyperlink" Target="https://www.sec.gov/Archives/edgar/data/1786471/000149315225016237/form8a12b.htm" TargetMode="External"/><Relationship Id="rId15" Type="http://schemas.openxmlformats.org/officeDocument/2006/relationships/hyperlink" Target="https://www.sec.gov/Archives/edgar/data/1786471/000149315226013581/ex4-12.htm" TargetMode="External"/><Relationship Id="rId16" Type="http://schemas.openxmlformats.org/officeDocument/2006/relationships/image" Target="media/image1.jpeg"/><Relationship Id="rId17" Type="http://schemas.openxmlformats.org/officeDocument/2006/relationships/hyperlink" Target="https://www.sec.gov/Archives/edgar/data/1786471/000149315226013581/form10-k.htm" TargetMode="External"/><Relationship Id="rId18" Type="http://schemas.openxmlformats.org/officeDocument/2006/relationships/hyperlink" Target="https://www.sec.gov/Archives/edgar/data/1786471/000149315226022732/form10-q.htm" TargetMode="External"/><Relationship Id="rId19" Type="http://schemas.openxmlformats.org/officeDocument/2006/relationships/hyperlink" Target="https://www.sec.gov/Archives/edgar/data/1786471/000149315226037373/form10-q.htm" TargetMode="External"/><Relationship Id="rId20" Type="http://schemas.openxmlformats.org/officeDocument/2006/relationships/hyperlink" Target="https://www.sec.gov/Archives/edgar/data/1786471/000149315226003512/form8-k.htm" TargetMode="External"/><Relationship Id="rId21" Type="http://schemas.openxmlformats.org/officeDocument/2006/relationships/hyperlink" Target="https://www.sec.gov/Archives/edgar/data/1786471/000149315226009780/form8-k.htm" TargetMode="External"/><Relationship Id="rId22" Type="http://schemas.openxmlformats.org/officeDocument/2006/relationships/hyperlink" Target="https://www.sec.gov/Archives/edgar/data/1786471/000149315226016473/form8-k.htm" TargetMode="External"/><Relationship Id="rId23" Type="http://schemas.openxmlformats.org/officeDocument/2006/relationships/hyperlink" Target="https://www.sec.gov/Archives/edgar/data/1786471/000149315226032258/form8-k.htm" TargetMode="External"/><Relationship Id="rId24" Type="http://schemas.openxmlformats.org/officeDocument/2006/relationships/hyperlink" Target="https://www.sec.gov/Archives/edgar/data/1786471/000149315226033058/form8-k.htm" TargetMode="External"/><Relationship Id="rId25" Type="http://schemas.openxmlformats.org/officeDocument/2006/relationships/hyperlink" Target="https://www.sec.gov/Archives/edgar/data/1786471/000149315226037987/form8-k.htm" TargetMode="External"/><Relationship Id="rId26" Type="http://schemas.openxmlformats.org/officeDocument/2006/relationships/hyperlink" Target="https://www.sec.gov/Archives/edgar/data/1786471/000149315226039512/form8-k.htm" TargetMode="External"/><Relationship Id="rId27" Type="http://schemas.openxmlformats.org/officeDocument/2006/relationships/hyperlink" Target="https://www.sec.gov/Archives/edgar/data/1786471/000149315226045258/form8-k.htm" TargetMode="External"/><Relationship Id="rId28" Type="http://schemas.openxmlformats.org/officeDocument/2006/relationships/hyperlink" Target="https://www.sec.gov/Archives/edgar/data/1786471/000149315225016237/form8a12b.htm" TargetMode="External"/><Relationship Id="rId29" Type="http://schemas.openxmlformats.org/officeDocument/2006/relationships/hyperlink" Target="https://www.sec.gov/Archives/edgar/data/1786471/000149315226013581/ex4-12.htm" TargetMode="External"/><Relationship Id="rId30" Type="http://schemas.openxmlformats.org/officeDocument/2006/relationships/image" Target="media/image1.jpeg"/><Relationship Id="rId31" Type="http://schemas.openxmlformats.org/officeDocument/2006/relationships/hyperlink" Target="https://www.sec.gov/Archives/edgar/data/1786471/000149315225016548/ex3-1.htm" TargetMode="External"/><Relationship Id="rId32" Type="http://schemas.openxmlformats.org/officeDocument/2006/relationships/hyperlink" Target="https://www.sec.gov/Archives/edgar/data/1786471/000149315225016548/ex3-2.htm" TargetMode="External"/><Relationship Id="rId33" Type="http://schemas.openxmlformats.org/officeDocument/2006/relationships/image" Target="media/image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215</Pages>
  <Words>132860</Words>
  <Characters>682627</Characters>
  <CharactersWithSpaces>815230</CharactersWithSpaces>
  <Paragraphs>6545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