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424b4.htm"/>
      <w:bookmarkStart w:id="1" w:name="ksform424b4"/>
      <w:bookmarkEnd w:id="0"/>
      <w:bookmarkEnd w:id="1"/>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1355"/>
        <w:gridCol w:w="2510"/>
      </w:tblGrid>
      <w:tr>
        <w:trPr/>
        <w:tc>
          <w:tcPr>
            <w:tcW w:w="1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xml:space="preserve"> </w:t>
            </w:r>
          </w:p>
        </w:tc>
        <w:tc>
          <w:tcPr>
            <w:tcW w:w="25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Filed Pursuant to 424(b)(4)</w:t>
            </w:r>
            <w:r>
              <w:rPr>
                <w:rFonts w:ascii="Times New Roman;Times;Serif" w:hAnsi="Times New Roman;Times;Serif"/>
                <w:b w:val="false"/>
                <w:i w:val="false"/>
                <w:caps w:val="false"/>
                <w:smallCaps w:val="false"/>
                <w:sz w:val="20"/>
              </w:rPr>
              <w:t xml:space="preserve">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51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333-298113</w:t>
            </w:r>
            <w:r>
              <w:rPr>
                <w:rFonts w:ascii="Times New Roman;Times;Serif" w:hAnsi="Times New Roman;Times;Serif"/>
                <w:b w:val="false"/>
                <w:i w:val="false"/>
                <w:caps w:val="false"/>
                <w:smallCaps w:val="false"/>
                <w:sz w:val="20"/>
              </w:rPr>
              <w:t xml:space="preserve">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94690" cy="6946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4690" cy="69469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4,320,000 Shares of Class B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Issuable Upon Exercise of Outstanding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of up to 4,320,000 shares of Aptera Motors Corp. (the “Company,” “we,” “our” or “us”) Class B common stock, par value $0.0001 per share (the “Common Stock”), by the Selling Stockholders listed in this prospectus or their permitted transferees (the “Selling Stockholders”). The shares of Common Stock registered for resale pursuant to this prospectus consist of 4,320,000 shares of Common Stock issuable upon the exercise of warrants (the “Warrants”). The Warrants were issued to the Selling Stockholders in a private placement offering (the “Private Placement”) which closed on July 13,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about the Private Placement, see “</w:t>
      </w:r>
      <w:r>
        <w:rPr>
          <w:rFonts w:ascii="Times New Roman;Times;Serif" w:hAnsi="Times New Roman;Times;Serif"/>
          <w:b w:val="false"/>
          <w:i/>
          <w:caps w:val="false"/>
          <w:smallCaps w:val="false"/>
          <w:sz w:val="20"/>
        </w:rPr>
        <w:t>Private Placement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an exercise price of $2.25 per share. The Warrants will be exercisable beginning on January 13, 2027 (the “Initial Exercise Date”), and will expire on the five (5) year anniversary of the Initial Exercise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sell, transfer or otherwise dispose of any or all of their shares of Common Stock or interests in their shares of Common Stock on any stock exchange, market or trading facility on which the shares of Common Stock are traded or in private transactions. These dispositions may be at fixed prices, at prevailing market prices at the time of sale, at prices related to the prevailing market price, at varying prices determined at the time of sale, or at negotiated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for more information. We will not receive any proceeds from the resale or other disposition of the shares of Common Stock by the Selling Stockholders. However, we will receive the proceeds of any cash exercise of the Warrants.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beginning on page 10 and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11 of this prospectus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(“Nasdaq”) under the symbol “SEV.” On August 6, 2026, the last reported sale price of our Common Stock as reported on Nasdaq was $2.12.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together with additional information described under the headings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carefully before you invest in any of our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 investment in our securities involves a high degree of risk. Before deciding whether to invest in our securities, you should consider carefully the risks and uncertainties described in the section captioned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contained in our Annual Report on Form 10-K for the fiscal year ended December 31, 2025, filed with the Securities and Exchange Commission, or the SEC, on March 30, 2026 and our other filings we make with the Securities and Exchange Commission from time to time, which are incorporated by reference herein in their entirety, together with other information in this prospectus and the information incorporated by reference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August 20,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245"/>
        <w:gridCol w:w="245"/>
      </w:tblGrid>
      <w:tr>
        <w:trPr/>
        <w:tc>
          <w:tcPr>
            <w:tcW w:w="6245" w:type="dxa"/>
            <w:tcBorders/>
            <w:shd w:fill="CCEEFF" w:val="clear"/>
            <w:vAlign w:val="center"/>
          </w:tcPr>
          <w:p>
            <w:pPr>
              <w:pStyle w:val="TableContents"/>
              <w:bidi w:val="0"/>
              <w:spacing w:before="0" w:after="283"/>
              <w:jc w:val="both"/>
              <w:rPr/>
            </w:pPr>
            <w:hyperlink w:anchor="pp_002">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245" w:type="dxa"/>
            <w:tcBorders/>
            <w:shd w:fill="FFFFFF" w:val="clear"/>
            <w:vAlign w:val="center"/>
          </w:tcPr>
          <w:p>
            <w:pPr>
              <w:pStyle w:val="TableContents"/>
              <w:bidi w:val="0"/>
              <w:spacing w:before="0" w:after="283"/>
              <w:jc w:val="both"/>
              <w:rPr/>
            </w:pPr>
            <w:hyperlink w:anchor="pp_003">
              <w:r>
                <w:rPr>
                  <w:rStyle w:val="InternetLink"/>
                  <w:rFonts w:ascii="Times New Roman;Times;Serif" w:hAnsi="Times New Roman;Times;Serif"/>
                  <w:b w:val="false"/>
                  <w:i w:val="false"/>
                  <w:caps w:val="false"/>
                  <w:smallCaps w:val="false"/>
                  <w:sz w:val="20"/>
                </w:rPr>
                <w:t>RISK FACTORS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245" w:type="dxa"/>
            <w:tcBorders/>
            <w:shd w:fill="CCEEFF" w:val="clear"/>
            <w:vAlign w:val="center"/>
          </w:tcPr>
          <w:p>
            <w:pPr>
              <w:pStyle w:val="TableContents"/>
              <w:bidi w:val="0"/>
              <w:spacing w:before="0" w:after="283"/>
              <w:jc w:val="both"/>
              <w:rPr/>
            </w:pPr>
            <w:hyperlink w:anchor="pp_004">
              <w:r>
                <w:rPr>
                  <w:rStyle w:val="InternetLink"/>
                  <w:rFonts w:ascii="Times New Roman;Times;Serif" w:hAnsi="Times New Roman;Times;Serif"/>
                  <w:b w:val="false"/>
                  <w:i w:val="false"/>
                  <w:caps w:val="false"/>
                  <w:smallCaps w:val="false"/>
                  <w:sz w:val="20"/>
                </w:rPr>
                <w:t>CAUTIONARY NOTE REGARDING FORWARD-LOOKING STATEMENTS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245" w:type="dxa"/>
            <w:tcBorders/>
            <w:shd w:fill="FFFFFF" w:val="clear"/>
            <w:vAlign w:val="center"/>
          </w:tcPr>
          <w:p>
            <w:pPr>
              <w:pStyle w:val="TableContents"/>
              <w:bidi w:val="0"/>
              <w:spacing w:before="0" w:after="283"/>
              <w:jc w:val="both"/>
              <w:rPr/>
            </w:pPr>
            <w:hyperlink w:anchor="pp_005">
              <w:r>
                <w:rPr>
                  <w:rStyle w:val="InternetLink"/>
                  <w:rFonts w:ascii="Times New Roman;Times;Serif" w:hAnsi="Times New Roman;Times;Serif"/>
                  <w:b w:val="false"/>
                  <w:i w:val="false"/>
                  <w:caps w:val="false"/>
                  <w:smallCaps w:val="false"/>
                  <w:sz w:val="20"/>
                </w:rPr>
                <w:t>PRIVATE PLACEMENT</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245" w:type="dxa"/>
            <w:tcBorders/>
            <w:shd w:fill="CCEEFF" w:val="clear"/>
            <w:vAlign w:val="center"/>
          </w:tcPr>
          <w:p>
            <w:pPr>
              <w:pStyle w:val="TableContents"/>
              <w:bidi w:val="0"/>
              <w:spacing w:before="0" w:after="283"/>
              <w:jc w:val="both"/>
              <w:rPr/>
            </w:pPr>
            <w:hyperlink w:anchor="pp_006">
              <w:r>
                <w:rPr>
                  <w:rStyle w:val="InternetLink"/>
                  <w:rFonts w:ascii="Times New Roman;Times;Serif" w:hAnsi="Times New Roman;Times;Serif"/>
                  <w:b w:val="false"/>
                  <w:i w:val="false"/>
                  <w:caps w:val="false"/>
                  <w:smallCaps w:val="false"/>
                  <w:sz w:val="20"/>
                </w:rPr>
                <w:t>SELLING STOCKHOLDERS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245" w:type="dxa"/>
            <w:tcBorders/>
            <w:shd w:fill="FFFFFF" w:val="clear"/>
            <w:vAlign w:val="center"/>
          </w:tcPr>
          <w:p>
            <w:pPr>
              <w:pStyle w:val="TableContents"/>
              <w:bidi w:val="0"/>
              <w:spacing w:before="0" w:after="283"/>
              <w:jc w:val="both"/>
              <w:rPr/>
            </w:pPr>
            <w:hyperlink w:anchor="pp_007">
              <w:r>
                <w:rPr>
                  <w:rStyle w:val="InternetLink"/>
                  <w:rFonts w:ascii="Times New Roman;Times;Serif" w:hAnsi="Times New Roman;Times;Serif"/>
                  <w:b w:val="false"/>
                  <w:i w:val="false"/>
                  <w:caps w:val="false"/>
                  <w:smallCaps w:val="false"/>
                  <w:sz w:val="20"/>
                </w:rPr>
                <w:t>USE OF PROCEEDS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245" w:type="dxa"/>
            <w:tcBorders/>
            <w:shd w:fill="CCEEFF" w:val="clear"/>
            <w:vAlign w:val="center"/>
          </w:tcPr>
          <w:p>
            <w:pPr>
              <w:pStyle w:val="TableContents"/>
              <w:bidi w:val="0"/>
              <w:spacing w:before="0" w:after="283"/>
              <w:jc w:val="both"/>
              <w:rPr/>
            </w:pPr>
            <w:hyperlink w:anchor="pp_009">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245" w:type="dxa"/>
            <w:tcBorders/>
            <w:shd w:fill="FFFFFF" w:val="clear"/>
            <w:vAlign w:val="center"/>
          </w:tcPr>
          <w:p>
            <w:pPr>
              <w:pStyle w:val="TableContents"/>
              <w:bidi w:val="0"/>
              <w:spacing w:before="0" w:after="283"/>
              <w:jc w:val="both"/>
              <w:rPr/>
            </w:pPr>
            <w:hyperlink w:anchor="pp_010">
              <w:r>
                <w:rPr>
                  <w:rStyle w:val="InternetLink"/>
                  <w:rFonts w:ascii="Times New Roman;Times;Serif" w:hAnsi="Times New Roman;Times;Serif"/>
                  <w:b w:val="false"/>
                  <w:i w:val="false"/>
                  <w:caps w:val="false"/>
                  <w:smallCaps w:val="false"/>
                  <w:sz w:val="20"/>
                </w:rPr>
                <w:t>DESCRIPTION OF SECURITIES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245" w:type="dxa"/>
            <w:tcBorders/>
            <w:shd w:fill="CCEEFF" w:val="clear"/>
            <w:vAlign w:val="center"/>
          </w:tcPr>
          <w:p>
            <w:pPr>
              <w:pStyle w:val="TableContents"/>
              <w:bidi w:val="0"/>
              <w:spacing w:before="0" w:after="283"/>
              <w:jc w:val="both"/>
              <w:rPr/>
            </w:pPr>
            <w:hyperlink w:anchor="pp_011">
              <w:r>
                <w:rPr>
                  <w:rStyle w:val="InternetLink"/>
                  <w:rFonts w:ascii="Times New Roman;Times;Serif" w:hAnsi="Times New Roman;Times;Serif"/>
                  <w:b w:val="false"/>
                  <w:i w:val="false"/>
                  <w:caps w:val="false"/>
                  <w:smallCaps w:val="false"/>
                  <w:sz w:val="20"/>
                </w:rPr>
                <w:t>LEGAL MATTERS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245" w:type="dxa"/>
            <w:tcBorders/>
            <w:shd w:fill="FFFFFF" w:val="clear"/>
            <w:vAlign w:val="center"/>
          </w:tcPr>
          <w:p>
            <w:pPr>
              <w:pStyle w:val="TableContents"/>
              <w:bidi w:val="0"/>
              <w:spacing w:before="0" w:after="283"/>
              <w:jc w:val="both"/>
              <w:rPr/>
            </w:pPr>
            <w:hyperlink w:anchor="pp_012">
              <w:r>
                <w:rPr>
                  <w:rStyle w:val="InternetLink"/>
                  <w:rFonts w:ascii="Times New Roman;Times;Serif" w:hAnsi="Times New Roman;Times;Serif"/>
                  <w:b w:val="false"/>
                  <w:i w:val="false"/>
                  <w:caps w:val="false"/>
                  <w:smallCaps w:val="false"/>
                  <w:sz w:val="20"/>
                </w:rPr>
                <w:t>EXPERTS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245" w:type="dxa"/>
            <w:tcBorders/>
            <w:shd w:fill="CCEEFF" w:val="clear"/>
            <w:vAlign w:val="center"/>
          </w:tcPr>
          <w:p>
            <w:pPr>
              <w:pStyle w:val="TableContents"/>
              <w:bidi w:val="0"/>
              <w:spacing w:before="0" w:after="283"/>
              <w:jc w:val="both"/>
              <w:rPr/>
            </w:pPr>
            <w:hyperlink w:anchor="pp_013">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245" w:type="dxa"/>
            <w:tcBorders/>
            <w:shd w:fill="FFFFFF" w:val="clear"/>
            <w:vAlign w:val="center"/>
          </w:tcPr>
          <w:p>
            <w:pPr>
              <w:pStyle w:val="TableContents"/>
              <w:bidi w:val="0"/>
              <w:spacing w:before="0" w:after="283"/>
              <w:jc w:val="both"/>
              <w:rPr/>
            </w:pPr>
            <w:hyperlink w:anchor="pp_014">
              <w:r>
                <w:rPr>
                  <w:rStyle w:val="InternetLink"/>
                  <w:rFonts w:ascii="Times New Roman;Times;Serif" w:hAnsi="Times New Roman;Times;Serif"/>
                  <w:b w:val="false"/>
                  <w:i w:val="false"/>
                  <w:caps w:val="false"/>
                  <w:smallCaps w:val="false"/>
                  <w:sz w:val="20"/>
                </w:rPr>
                <w:t>INCORPORATION OF CERTAIN INFORMATION BY REFERENCE</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p_002"/>
      <w:bookmarkEnd w:id="2"/>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information contained elsewhere in this prospectus and the documents incorporated by reference herein. This summary does not contain all of the information that you should consider before deciding to invest in our securities. You should read this entire prospectus carefully, including the section entitled “Risk Factors” beginning on page 5, our consolidated financial statements and the related notes and the other information incorporated by reference into this prospectus before making an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automotive technology company focused on developing and manufacturing highly efficient solar electric vehicles (SEVs). Our flagship vehicle, the Aptera, is a three-wheeled, two-passenger vehicle designed for efficiency and sustainability. We believe Aptera’s unique design, incorporating solar charging capabilities and aerodynamic efficiency, will offer a compelling alternative to conventional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generate revenue primarily through the sale of our SEVs. Our current focus is on completing the development and commencing production of the Aptera. To date, we have not commenced production of our SEVs. We plan to offer various Aptera models with different features and price points. We may also explore other revenue streams in the future, such as providing charging infrastructure or developing related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Aptera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Aptera is designed to be a highly efficient vehicle, minimizing energy consumption through its aerodynamic design and lightweight construction. Its integrated solar panels are intended to supplement battery charging, potentially allowing drivers to travel significant distances using only solar power. The Aptera is designed to be a practical and sustainable transportation solution for daily commuting and other driving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Advantages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Aptera offers several competitive advantages, including:</w:t>
      </w:r>
    </w:p>
    <w:p>
      <w:pPr>
        <w:pStyle w:val="TextBody"/>
        <w:bidi w:val="0"/>
        <w:spacing w:before="0" w:after="0"/>
        <w:ind w:left="0" w:right="0" w:hanging="0"/>
        <w:jc w:val="both"/>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75"/>
        <w:gridCol w:w="170"/>
        <w:gridCol w:w="98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High Efficiency:</w:t>
            </w:r>
            <w:r>
              <w:rPr>
                <w:rFonts w:ascii="Times New Roman;Times;Serif" w:hAnsi="Times New Roman;Times;Serif"/>
                <w:b w:val="false"/>
                <w:i w:val="false"/>
                <w:caps w:val="false"/>
                <w:smallCaps w:val="false"/>
                <w:sz w:val="20"/>
              </w:rPr>
              <w:t xml:space="preserve"> The Aptera’s aerodynamic design and lightweight construction contribute to its high energy efficiency.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Solar Charging:</w:t>
            </w:r>
            <w:r>
              <w:rPr>
                <w:rFonts w:ascii="Times New Roman;Times;Serif" w:hAnsi="Times New Roman;Times;Serif"/>
                <w:b w:val="false"/>
                <w:i w:val="false"/>
                <w:caps w:val="false"/>
                <w:smallCaps w:val="false"/>
                <w:sz w:val="20"/>
              </w:rPr>
              <w:t xml:space="preserve"> Integrated solar panels provide supplemental charging, potentially reducing reliance on traditional charging infrastructure.</w:t>
            </w:r>
          </w:p>
        </w:tc>
      </w:tr>
    </w:tbl>
    <w:p>
      <w:pPr>
        <w:pStyle w:val="TextBody"/>
        <w:bidi w:val="0"/>
        <w:spacing w:before="0" w:after="0"/>
        <w:ind w:left="720" w:right="0" w:hanging="360"/>
        <w:jc w:val="both"/>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170"/>
        <w:gridCol w:w="86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Unique Design:</w:t>
            </w:r>
            <w:r>
              <w:rPr>
                <w:rFonts w:ascii="Times New Roman;Times;Serif" w:hAnsi="Times New Roman;Times;Serif"/>
                <w:b w:val="false"/>
                <w:i w:val="false"/>
                <w:caps w:val="false"/>
                <w:smallCaps w:val="false"/>
                <w:sz w:val="20"/>
              </w:rPr>
              <w:t xml:space="preserve"> The Aptera’s distinctive three-wheeled design differentiates it from conventional vehicles.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Sustainability: </w:t>
            </w:r>
            <w:r>
              <w:rPr>
                <w:rFonts w:ascii="Times New Roman;Times;Serif" w:hAnsi="Times New Roman;Times;Serif"/>
                <w:b w:val="false"/>
                <w:i w:val="false"/>
                <w:caps w:val="false"/>
                <w:smallCaps w:val="false"/>
                <w:sz w:val="20"/>
              </w:rPr>
              <w:t>The Aptera’s electric powertrain and solar charging capabilities contribute to a reduced environmental footprint.</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numerous challenges in developing and commercializing the Aptera, including:</w:t>
      </w:r>
    </w:p>
    <w:p>
      <w:pPr>
        <w:pStyle w:val="TextBody"/>
        <w:bidi w:val="0"/>
        <w:spacing w:before="0" w:after="0"/>
        <w:ind w:left="0" w:right="0" w:hanging="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Production: </w:t>
            </w:r>
            <w:r>
              <w:rPr>
                <w:rFonts w:ascii="Times New Roman;Times;Serif" w:hAnsi="Times New Roman;Times;Serif"/>
                <w:b w:val="false"/>
                <w:i w:val="false"/>
                <w:caps w:val="false"/>
                <w:smallCaps w:val="false"/>
                <w:sz w:val="20"/>
              </w:rPr>
              <w:t>We have not yet commenced production of the Aptera and face risks associated with scaling production.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Competition: </w:t>
            </w:r>
            <w:r>
              <w:rPr>
                <w:rFonts w:ascii="Times New Roman;Times;Serif" w:hAnsi="Times New Roman;Times;Serif"/>
                <w:b w:val="false"/>
                <w:i w:val="false"/>
                <w:caps w:val="false"/>
                <w:smallCaps w:val="false"/>
                <w:sz w:val="20"/>
              </w:rPr>
              <w:t>The passenger vehicle industry is highly competitive, and we face competition from established automakers and other electric vehicle manufacturers.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Technology: </w:t>
            </w:r>
            <w:r>
              <w:rPr>
                <w:rFonts w:ascii="Times New Roman;Times;Serif" w:hAnsi="Times New Roman;Times;Serif"/>
                <w:b w:val="false"/>
                <w:i w:val="false"/>
                <w:caps w:val="false"/>
                <w:smallCaps w:val="false"/>
                <w:sz w:val="20"/>
              </w:rPr>
              <w:t>The development of advanced technologies, such as solar charging and battery systems, involves technical risks.</w:t>
            </w:r>
          </w:p>
        </w:tc>
      </w:tr>
    </w:tbl>
    <w:p>
      <w:pPr>
        <w:pStyle w:val="TextBody"/>
        <w:bidi w:val="0"/>
        <w:spacing w:before="0" w:after="0"/>
        <w:ind w:left="720" w:right="0" w:hanging="36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Funding: </w:t>
            </w:r>
            <w:r>
              <w:rPr>
                <w:rFonts w:ascii="Times New Roman;Times;Serif" w:hAnsi="Times New Roman;Times;Serif"/>
                <w:b w:val="false"/>
                <w:i w:val="false"/>
                <w:caps w:val="false"/>
                <w:smallCaps w:val="false"/>
                <w:sz w:val="20"/>
              </w:rPr>
              <w:t>We will require significant additional capital to fund our operations and achieve our business objectives.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was formed on March 4, 2019, under the laws of the state of Delaware, and is a public benefit corporation in Delaware. Our headquarters are located in Carlsbad, California. Our website address is www.aptera.us. The information contained on, or that can be accessed through, our website is not incorporated by reference into, and is not a part of, this prospectus. Investors should not rely on any such information in deciding whether to purchase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two classes of authorized common stock - Class B common stock and Class A common stock. The rights of the holders of Class A common stock and Class B common stock are identical, except that our Class B common stock is non-voting and is not entitled to any votes on any matter that is submitted to a vote of our stockholders, except as required by Delaware law. Each share of Class A common stock is entitled to one vote and is convertible at any time into one share of Class B common stock. The Class B common stock has no voting rights, except as required by Delaware General Corporation Law. However, upon and following the Final Conversion Date, defined as the date that no shares of Class A common stock remain outstanding, holders of Class B common stock will be entitled to one vote per share. 20,000,000 shares of Preferred Stock may be issued from time to time in one or more series by a resolution of the Board of Directors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series. See “</w:t>
      </w:r>
      <w:r>
        <w:rPr>
          <w:rFonts w:ascii="Times New Roman;Times;Serif" w:hAnsi="Times New Roman;Times;Serif"/>
          <w:b w:val="false"/>
          <w:i/>
          <w:caps w:val="false"/>
          <w:smallCaps w:val="false"/>
          <w:sz w:val="20"/>
        </w:rPr>
        <w:t>Description of Capital Stock - Common Stock - Voting Rights” and “Description of Capital Stock - Preferred Stock - Voting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Channels for Disclosure of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announce material information to the public through filings with the SEC, the investor relations page on our website (www.aptera.us), press releases, public conference calls, public webcasts, and our social media pages. The information contained on, or that can be accessed through, our website is not incorporated by reference into, and is not a part of, this prospectus. Investors should not rely on any such information in deciding whether to purchase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by the foregoing channels could be deemed to be material information. As such, we encourage investors, the media, and others to follow the channels listed above and to review the information disclosed through such channels.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updates to the list of disclosure channels through which we will announce information will be posted on the investor relations page on our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$1.235 billion in revenue during our most recently completed fiscal year, we qualify as an “emerging growth company” as defined in Section 2(a) of the Securities Act as modified by the Jumpstart Our Business Startups Act of 2012, or the JOBS Act. As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specified reduced disclosure and other requirements that are otherwise applicable, in general, to public companies that are not emerging growth companies. These provisions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permitted to present only two years of audited financial statements and only two years of related Management’s Discussion and Analysis of Financial Condition and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compliance with the auditor attestation requirement on the effectiveness of our internal control over financial reporting pursuant to the Sarbanes-Oxley Act of 2002;</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requirement that critical audit matters be discussed in our independent auditor’s reports on our audited financial statements or any other requirements that may be adopted by the Public Company Accounting Oversight Board unless the SEC determines that the application of such requirements to emerging growth companies is in the public interest;</w:t>
            </w:r>
          </w:p>
        </w:tc>
      </w:tr>
    </w:tbl>
    <w:p>
      <w:pPr>
        <w:pStyle w:val="TextBody"/>
        <w:bidi w:val="0"/>
        <w:spacing w:before="0" w:after="0"/>
        <w:ind w:left="720" w:right="0" w:hanging="36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about our executive compensation arrangements;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to obtain a non-binding advisory vote on executive compensation or a stockholder approval of any golden parachute arrangements; and</w:t>
            </w:r>
          </w:p>
        </w:tc>
      </w:tr>
    </w:tbl>
    <w:p>
      <w:pPr>
        <w:pStyle w:val="TextBody"/>
        <w:bidi w:val="0"/>
        <w:spacing w:before="0" w:after="0"/>
        <w:ind w:left="720" w:right="0" w:hanging="360"/>
        <w:jc w:val="both"/>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75"/>
        <w:gridCol w:w="170"/>
        <w:gridCol w:w="68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extended transition periods for complying with new or revised accounting standards.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in any three-year period, more than $1.0 billion in non-convertible debt securities; and (4) the last day of the fiscal year ending after the fifth anniversary of the date of our first public equity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exemptions until such time as we are no longer an emerging growth company. Accordingly,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that have adopted the new or revised accounting standards. It is possible that some investors will find our Class B common stock less attractive as a result, which may result in a less active trading market for our Class B common stock and higher volatility in the stock price of our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Benefit Corporation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demonstration of our long-term commitment to promote solar mobility and to work towards positively impacting the communities in which we operate, we are treated as a public benefit corporation under Delaware law. As provided in the Amended &amp; Restated Certificate of Incorporation (our “Amended Charter”), the public benefits that we promote, and pursuant to which we manage our Company, are to break the chains of energy dependence by championing solar mobility-liberating communities, restoring sustainability, and forging a future where power belongs to the people. Being a public benefit corporation underscores our commitment to our purpose and our stakeholders, including consumers and customers, communities, and stockholders. See the section titled “</w:t>
      </w:r>
      <w:r>
        <w:rPr>
          <w:rFonts w:ascii="Times New Roman;Times;Serif" w:hAnsi="Times New Roman;Times;Serif"/>
          <w:b w:val="false"/>
          <w:i/>
          <w:caps w:val="false"/>
          <w:smallCaps w:val="false"/>
          <w:sz w:val="20"/>
        </w:rPr>
        <w:t>Description of Capital Stock-Public Benefit Corporation Status</w:t>
      </w:r>
      <w:r>
        <w:rPr>
          <w:rFonts w:ascii="Times New Roman;Times;Serif" w:hAnsi="Times New Roman;Times;Serif"/>
          <w:b w:val="false"/>
          <w:i w:val="false"/>
          <w:caps w:val="false"/>
          <w:smallCaps w:val="false"/>
          <w:sz w:val="20"/>
        </w:rPr>
        <w:t>”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(“Nasdaq”) under the symbol “SEV.”</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7"/>
        <w:gridCol w:w="60"/>
        <w:gridCol w:w="8378"/>
      </w:tblGrid>
      <w:tr>
        <w:trPr/>
        <w:tc>
          <w:tcPr>
            <w:tcW w:w="176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B Common Stock offered by the Selling Stockholders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4,320,000 shares of Common Stock issuable upon exercise of the Warrants. </w:t>
            </w:r>
          </w:p>
        </w:tc>
      </w:tr>
      <w:tr>
        <w:trPr/>
        <w:tc>
          <w:tcPr>
            <w:tcW w:w="176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6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shares of Common Stock offered by the Selling Stockholders pursuant to this prospectus. However, we will receive the proceeds of any cash exercise of the Warrants. We intend to use the net proceeds from any cash exercise of the Warrants for working capital and general corporate purposes. Please see the section entitled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on page 10 of this prospectus for a more detailed discussion.</w:t>
            </w:r>
          </w:p>
        </w:tc>
      </w:tr>
      <w:tr>
        <w:trPr/>
        <w:tc>
          <w:tcPr>
            <w:tcW w:w="176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6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National Securities Exchange Listing</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currently listed on Nasdaq under the symbol “SEV”. </w:t>
            </w:r>
          </w:p>
        </w:tc>
      </w:tr>
      <w:tr>
        <w:trPr/>
        <w:tc>
          <w:tcPr>
            <w:tcW w:w="176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67"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i w:val="false"/>
                <w:caps w:val="false"/>
                <w:smallCaps w:val="false"/>
                <w:sz w:val="20"/>
              </w:rPr>
              <w:t>Risk Factors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Please see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5 of this prospectus. In addition before deciding whether to invest in our securities, you should consider carefully the risks and uncertainties described in the section captioned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our Annual Report on Form 10-K for the fiscal year ended December 31, 2025 filed with the SEC on March 30, 2026, and other filings we make with the SEC from time to time, which are incorporated by reference herein in their entirety, together with other information in this prospectus and the information incorporated by reference herein.</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pp_003"/>
      <w:bookmarkEnd w:id="3"/>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Before deciding whether to invest in our securities, you should consider carefully the risks and uncertainties described in the section captioned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our Annual Report on Form 10-K for the fiscal year ended December 31, 2025 filed with the SEC on March 30, 2026, and our other filings we make with the SEC from time to time, which are incorporated by reference herein in their entirety, together with other information in this prospectus and the information incorporated by reference herein. Additional risks and uncertainties of which we are unaware, or that we currently deem immaterial, also may become important factors that affect us. You should also carefully consider the other information included or incorporated by reference in this prospectus. Each of the risks described in these documents could materially and adversely affect our business, financial condition, results of operations and prospects, and could result in a partial or complete loss of your investment. If any of these risks actually occurs, our business, financial condition, results of operations or cash flow could suffer materially. In such an event, the trading price of our shares of Common Stock could decline, and you might lose all or part of your investment.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pp_004"/>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historical information, this prospectus and the documents incorporated herein by reference contain forward-looking statements within the meaning of Section 27A of the Securities Act of 1933, as amended, (the “Securities Act”) and the Exchange Act.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performance, including our expectations regarding our revenue, cost of revenue, gross profit, operating expenses including changes in research and development, sales and marketing, and general and administrative expenses (including any components of the foregoing), and our ability to maintain future profitability;</w:t>
            </w:r>
          </w:p>
        </w:tc>
      </w:tr>
    </w:tbl>
    <w:p>
      <w:pPr>
        <w:pStyle w:val="TextBody"/>
        <w:bidi w:val="0"/>
        <w:spacing w:before="0" w:after="0"/>
        <w:ind w:left="720" w:right="0" w:hanging="36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raise capital to fund our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plan and our ability to effectively manage our growth;</w:t>
            </w:r>
          </w:p>
        </w:tc>
      </w:tr>
    </w:tbl>
    <w:p>
      <w:pPr>
        <w:pStyle w:val="TextBody"/>
        <w:bidi w:val="0"/>
        <w:spacing w:before="0" w:after="0"/>
        <w:ind w:left="720" w:right="0" w:hanging="36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with well-established competitors and new entrants;</w:t>
            </w:r>
          </w:p>
        </w:tc>
      </w:tr>
    </w:tbl>
    <w:p>
      <w:pPr>
        <w:pStyle w:val="TextBody"/>
        <w:bidi w:val="0"/>
        <w:spacing w:before="0" w:after="0"/>
        <w:ind w:left="720" w:right="0" w:hanging="360"/>
        <w:jc w:val="both"/>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navigate the regulatory environment applicable to our operations and industry;</w:t>
            </w:r>
          </w:p>
        </w:tc>
      </w:tr>
    </w:tbl>
    <w:p>
      <w:pPr>
        <w:pStyle w:val="TextBody"/>
        <w:bidi w:val="0"/>
        <w:spacing w:before="0" w:after="0"/>
        <w:ind w:left="720" w:right="0" w:hanging="36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170"/>
        <w:gridCol w:w="4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begin manufacturing our vehicles at scale;</w:t>
            </w:r>
          </w:p>
        </w:tc>
      </w:tr>
    </w:tbl>
    <w:p>
      <w:pPr>
        <w:pStyle w:val="TextBody"/>
        <w:bidi w:val="0"/>
        <w:spacing w:before="0" w:after="0"/>
        <w:ind w:left="720" w:right="0" w:hanging="36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70"/>
        <w:gridCol w:w="57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qualified employees and key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170"/>
        <w:gridCol w:w="2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strategy;</w:t>
            </w:r>
          </w:p>
        </w:tc>
      </w:tr>
    </w:tbl>
    <w:p>
      <w:pPr>
        <w:pStyle w:val="TextBody"/>
        <w:bidi w:val="0"/>
        <w:spacing w:before="0" w:after="0"/>
        <w:ind w:left="720" w:right="0" w:hanging="36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beliefs and objectives for future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protect, and enhance our brand and intellectual property;</w:t>
            </w:r>
          </w:p>
        </w:tc>
      </w:tr>
    </w:tbl>
    <w:p>
      <w:pPr>
        <w:pStyle w:val="TextBody"/>
        <w:bidi w:val="0"/>
        <w:spacing w:before="0" w:after="0"/>
        <w:ind w:left="720" w:right="0" w:hanging="360"/>
        <w:jc w:val="both"/>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stay in compliance with laws and regulations that currently apply or become applicable to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and industry trends, projected growth, or trend analysis; and</w:t>
            </w:r>
          </w:p>
        </w:tc>
      </w:tr>
    </w:tbl>
    <w:p>
      <w:pPr>
        <w:pStyle w:val="TextBody"/>
        <w:bidi w:val="0"/>
        <w:spacing w:before="0" w:after="0"/>
        <w:ind w:left="720" w:right="0" w:hanging="36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expenses associated with being a public company.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the foregoing list may not contain all of the forward-looking statements made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refer to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this prospectus and the documents we incorporate by reference for a discussion of important factors that may cause our actual results to differ materially from those expressed or implied by our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and the documents we incorporate by reference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prospectus.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pp_005"/>
      <w:bookmarkEnd w:id="5"/>
      <w:r>
        <w:rPr>
          <w:rFonts w:ascii="Times New Roman;Times;Serif" w:hAnsi="Times New Roman;Times;Serif"/>
          <w:b/>
          <w:i w:val="false"/>
          <w:caps w:val="false"/>
          <w:smallCaps w:val="false"/>
          <w:sz w:val="20"/>
        </w:rPr>
        <w:t>PRIVATE PLACEMENT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we entered into an inducement offer letter agreement (the “Inducement Letter”) with certain holders (the “Holders”) of certain of our existing warrants to purchase up to an aggregate of 2,880,000 shares of our Common Stock issued to the Holders on March 12, 2026 (the “Existing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Inducement Letter, the Holders agreed to exercise for cash their Existing Warrants at a reduced exercise price of $2.07 per share in consideration for our agreement to issue in a private placement warrants to purchase up to an aggregate of 4,320,000 shares of Common Stock (the “Warrants”). The Warrants have an exercise price of $2.25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issued on July 13, 2026 (the “Closing Date”). We received aggregate gross proceeds of approximately $5.96 million from the exercise of the Existing Warrants by the Holders, before deducting financial advisory fees and other offering expenses payable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Inducement Letter, we agreed to file a registration statement on Form S-1 providing for the resale of the Warrant Shares as soon as reasonably practicable after the Closing Date (and in any event within 30 calendar days following the Closing Date), and to use commercially reasonable efforts to cause such registration statement to be declared effective by the SEC within 60 days following the filing date of the registration statement (or within 90 calendar days in case of “full review” by the SEC) and to keep such registration statement effective at all times until the Holders no longer own any Warrants or the shares issuable upon exercise thereof. We have filed the registration statement of which this prospectus forms a part pursuant to the Inducement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engaged A.G.P./Alliance Global Partners (the “Financial Advisor”) to act as financial advisor in connection with the transactions summarized above and paid the Financial Advisor a fee equal to 6% of the gross proceeds raised in the transaction and reimburse the Financial Advisor for legal expenses incurred in connection with the transaction not to exceed $25,000.</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pp_006"/>
      <w:bookmarkEnd w:id="6"/>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or other disposition by the Selling Stockholders identified in the table below, or their pledgees, assignees, transferees or other successors-in-interest, of up to an aggregate of 4,320,000 shares of our Class B common stock issuable upon exercise of the Warrants. The Selling Stockholders acquired the Warrants in the transactions described above under the heading “</w:t>
      </w:r>
      <w:r>
        <w:rPr>
          <w:rFonts w:ascii="Times New Roman;Times;Serif" w:hAnsi="Times New Roman;Times;Serif"/>
          <w:b w:val="false"/>
          <w:i/>
          <w:caps w:val="false"/>
          <w:smallCaps w:val="false"/>
          <w:sz w:val="20"/>
        </w:rPr>
        <w:t>Private Placement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contain beneficial ownership limitations that prevent a holder from exercising any portion of its Warrants to the extent that, after giving effect to such exercise, the holder, together with certain related parties, would beneficially own more than 4.99% or 9.99%, as applicable, of our outstanding shares of Class B common stock, subject to the terms of the Warrants. The number of shares shown in the column titled “Shares of Class B Common Stock Offered by this Prospectus” reflects the full number of shares of Class B common stock issuable upon exercise of the Warrants held by each Selling Stockholder and does not give effect to any applicable beneficial ownership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as of August 6, 2026, the following information regarding the Selling Stockholders: the name of each Selling Stockholder; the number of shares of Class B common stock beneficially owned by each Selling Stockholder prior to this offering, determined in accordance with Rule 13d-3 under the Exchange Act; the percentage of outstanding shares of Class B common stock beneficially owned by each Selling Stockholder prior to this offering; the number of shares of Class B common stock being offered by each Selling Stockholder pursuant to this prospectus; the number of shares of Class B common stock to be beneficially owned by each Selling Stockholder after completion of this offering, assuming the sale of all shares offered by such Selling Stockholder pursuant to this prospectus and no other acquisitions or dispositions of shares; and the percentage of outstanding shares of Class B common stock to be beneficially owned by each Selling Stockholder after completion of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Exchange Act and generally includes shares over which the Selling Stockholder has voting or dispositive power and shares that the Selling Stockholder has the right to acquire within 60 days of August 6, 2026. Because the Warrants are not exercisable until January 13, 2027, the shares issuable upon exercise of the Warrants have not been included in the “Shares of Class B Common Stock Beneficially Owned Prior to Offering” column unless such shares are deemed beneficially owned under Rule 13d-3 as of the applicable measurement date. The “Shares of Class B Common Stock Offered by this Prospectus” column, however, includes all shares of Class B common stock issuable upon exercise of the Warrants held by each Selling Stockholder, without regard to the 60-day exercisability rule or any applicable beneficial ownership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with respect to the beneficial ownership of the Selling Stockholders has been furnished by or on behalf of the Selling Stockholders. Except as otherwise indicated in the footnotes to the table below, and based on information provided to us by the Selling Stockholders, we believe that each Selling Stockholder has sole voting and dispositive power with respect to the shares of Class B common stock beneficially owned by such Selling Stockholder. Because the Selling Stockholders may sell, transfer or otherwise dispose of all, some or none of the shares covered by this prospectus, and because there are currently no agreements, arrangements or understandings with respect to the sale of any of the shares covered by this prospectus, we cannot estimate the number of shares that will be held by the Selling Stockholders upon termination of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have sold, transferred or otherwise disposed of, or may sell, transfer or otherwise dispose of, at any time and from time to time after the date on which they provided the information set forth in the table below, shares of Class B common stock that they beneficially own in transactions exempt from the registration requirements of the Securities Act. Accordingly, for purposes of the table below, we have assumed that each Selling Stockholder will sell all of the shares of Class B common stock offered by such Selling Stockholder pursuant to this prospectus and will not sell or otherwise dispose of any other shares of Class B common stock beneficially owned by such Selling Stockholder.</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none of the Selling Stockholders has held any position or office with us or any of our subsidiaries, or otherwise had a material relationship with us or any of our subsidiaries, within the past three years other than as a result of the ownership of our securities. Based on information provided to us by the Selling Stockholders, no Selling Stockholder is a registered broker-dealer or an affiliate of a registered broker-dealer, except as otherwise disclosed in the footnotes to the table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94"/>
        <w:gridCol w:w="60"/>
        <w:gridCol w:w="427"/>
        <w:gridCol w:w="997"/>
        <w:gridCol w:w="60"/>
        <w:gridCol w:w="60"/>
        <w:gridCol w:w="567"/>
        <w:gridCol w:w="1324"/>
        <w:gridCol w:w="215"/>
        <w:gridCol w:w="60"/>
        <w:gridCol w:w="78"/>
        <w:gridCol w:w="1278"/>
        <w:gridCol w:w="220"/>
        <w:gridCol w:w="60"/>
        <w:gridCol w:w="422"/>
        <w:gridCol w:w="985"/>
        <w:gridCol w:w="60"/>
        <w:gridCol w:w="60"/>
        <w:gridCol w:w="462"/>
        <w:gridCol w:w="1082"/>
        <w:gridCol w:w="234"/>
      </w:tblGrid>
      <w:tr>
        <w:trPr/>
        <w:tc>
          <w:tcPr>
            <w:tcW w:w="1494" w:type="dxa"/>
            <w:tcBorders>
              <w:bottom w:val="single" w:sz="8" w:space="0" w:color="000000"/>
            </w:tcBorders>
            <w:vAlign w:val="center"/>
          </w:tcPr>
          <w:p>
            <w:pPr>
              <w:pStyle w:val="TableContents"/>
              <w:bidi w:val="0"/>
              <w:spacing w:before="0" w:after="283"/>
              <w:jc w:val="center"/>
              <w:rPr>
                <w:b/>
              </w:rPr>
            </w:pPr>
            <w:r>
              <w:rPr>
                <w:b/>
              </w:rPr>
              <w:t>Name of Selling Stockholder</w:t>
            </w:r>
          </w:p>
        </w:tc>
        <w:tc>
          <w:tcPr>
            <w:tcW w:w="60" w:type="dxa"/>
            <w:tcBorders/>
            <w:tcMar>
              <w:bottom w:w="0" w:type="dxa"/>
            </w:tcMar>
            <w:vAlign w:val="center"/>
          </w:tcPr>
          <w:p>
            <w:pPr>
              <w:pStyle w:val="TableContents"/>
              <w:bidi w:val="0"/>
              <w:spacing w:before="0" w:after="283"/>
              <w:jc w:val="left"/>
              <w:rPr/>
            </w:pPr>
            <w:r>
              <w:rPr/>
              <w:t> </w:t>
            </w:r>
          </w:p>
        </w:tc>
        <w:tc>
          <w:tcPr>
            <w:tcW w:w="14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B Common Stock Beneficially Owned Prior to Offering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91" w:type="dxa"/>
            <w:gridSpan w:val="2"/>
            <w:tcBorders>
              <w:bottom w:val="single" w:sz="8" w:space="0" w:color="000000"/>
            </w:tcBorders>
            <w:vAlign w:val="center"/>
          </w:tcPr>
          <w:p>
            <w:pPr>
              <w:pStyle w:val="TableContents"/>
              <w:bidi w:val="0"/>
              <w:spacing w:before="0" w:after="283"/>
              <w:jc w:val="center"/>
              <w:rPr>
                <w:b/>
              </w:rPr>
            </w:pPr>
            <w:r>
              <w:rPr>
                <w:b/>
              </w:rPr>
              <w:t>Percentage of Outstanding Class B Common Stock Beneficially Owned Prior to Offering (1)(2)</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B Common Stock Offered by this Prospectus (3)</w:t>
            </w:r>
          </w:p>
        </w:tc>
        <w:tc>
          <w:tcPr>
            <w:tcW w:w="2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B Common Stock Beneficially Owned After Offering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Outstanding Class B Common Stock Beneficially Owned After Offering (1)(2)</w:t>
            </w:r>
          </w:p>
        </w:tc>
        <w:tc>
          <w:tcPr>
            <w:tcW w:w="234" w:type="dxa"/>
            <w:tcBorders/>
            <w:tcMar>
              <w:bottom w:w="0" w:type="dxa"/>
            </w:tcMar>
            <w:vAlign w:val="center"/>
          </w:tcPr>
          <w:p>
            <w:pPr>
              <w:pStyle w:val="TableContents"/>
              <w:bidi w:val="0"/>
              <w:spacing w:before="0" w:after="283"/>
              <w:jc w:val="left"/>
              <w:rPr/>
            </w:pPr>
            <w:r>
              <w:rPr/>
              <w:t> </w:t>
            </w:r>
          </w:p>
        </w:tc>
      </w:tr>
      <w:tr>
        <w:trPr/>
        <w:tc>
          <w:tcPr>
            <w:tcW w:w="1494" w:type="dxa"/>
            <w:tcBorders/>
            <w:shd w:fill="CCEEFF" w:val="clear"/>
            <w:tcMar>
              <w:bottom w:w="0" w:type="dxa"/>
            </w:tcMar>
            <w:vAlign w:val="center"/>
          </w:tcPr>
          <w:p>
            <w:pPr>
              <w:pStyle w:val="TableContents"/>
              <w:bidi w:val="0"/>
              <w:spacing w:before="0" w:after="283"/>
              <w:jc w:val="both"/>
              <w:rPr/>
            </w:pPr>
            <w:r>
              <w:rPr/>
              <w:t>Polar Asset Management Partners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7" w:type="dxa"/>
            <w:tcBorders/>
            <w:shd w:fill="CCEEFF" w:val="clear"/>
            <w:tcMar>
              <w:bottom w:w="0" w:type="dxa"/>
            </w:tcMar>
            <w:vAlign w:val="center"/>
          </w:tcPr>
          <w:p>
            <w:pPr>
              <w:pStyle w:val="TableContents"/>
              <w:bidi w:val="0"/>
              <w:spacing w:before="0" w:after="283"/>
              <w:jc w:val="left"/>
              <w:rPr/>
            </w:pPr>
            <w:r>
              <w:rPr/>
              <w:t> </w:t>
            </w:r>
          </w:p>
        </w:tc>
        <w:tc>
          <w:tcPr>
            <w:tcW w:w="997"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7"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3,375,000</w:t>
            </w:r>
          </w:p>
        </w:tc>
        <w:tc>
          <w:tcPr>
            <w:tcW w:w="220" w:type="dxa"/>
            <w:tcBorders/>
            <w:shd w:fill="CCEEFF" w:val="clear"/>
            <w:tcMar>
              <w:bottom w:w="0" w:type="dxa"/>
            </w:tcMar>
            <w:vAlign w:val="center"/>
          </w:tcPr>
          <w:p>
            <w:pPr>
              <w:pStyle w:val="TableContents"/>
              <w:bidi w:val="0"/>
              <w:spacing w:before="0" w:after="283"/>
              <w:jc w:val="lef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2"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1494" w:type="dxa"/>
            <w:tcBorders/>
            <w:shd w:fill="FFFFFF" w:val="clear"/>
            <w:tcMar>
              <w:bottom w:w="0" w:type="dxa"/>
            </w:tcMar>
            <w:vAlign w:val="center"/>
          </w:tcPr>
          <w:p>
            <w:pPr>
              <w:pStyle w:val="TableContents"/>
              <w:bidi w:val="0"/>
              <w:spacing w:before="0" w:after="283"/>
              <w:jc w:val="both"/>
              <w:rPr/>
            </w:pPr>
            <w:r>
              <w:rPr/>
              <w:t>Robert Forster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7" w:type="dxa"/>
            <w:tcBorders/>
            <w:shd w:fill="FFFFFF" w:val="clear"/>
            <w:tcMar>
              <w:bottom w:w="0" w:type="dxa"/>
            </w:tcMar>
            <w:vAlign w:val="center"/>
          </w:tcPr>
          <w:p>
            <w:pPr>
              <w:pStyle w:val="TableContents"/>
              <w:bidi w:val="0"/>
              <w:spacing w:before="0" w:after="283"/>
              <w:jc w:val="left"/>
              <w:rPr/>
            </w:pPr>
            <w:r>
              <w:rPr/>
              <w:t> </w:t>
            </w:r>
          </w:p>
        </w:tc>
        <w:tc>
          <w:tcPr>
            <w:tcW w:w="997"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7" w:type="dxa"/>
            <w:tcBorders/>
            <w:shd w:fill="FFFFFF" w:val="clear"/>
            <w:tcMar>
              <w:bottom w:w="0" w:type="dxa"/>
            </w:tcMar>
            <w:vAlign w:val="center"/>
          </w:tcPr>
          <w:p>
            <w:pPr>
              <w:pStyle w:val="TableContents"/>
              <w:bidi w:val="0"/>
              <w:spacing w:before="0" w:after="283"/>
              <w:jc w:val="left"/>
              <w:rPr/>
            </w:pPr>
            <w:r>
              <w:rPr/>
              <w:t> </w:t>
            </w:r>
          </w:p>
        </w:tc>
        <w:tc>
          <w:tcPr>
            <w:tcW w:w="1324"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393,750</w:t>
            </w:r>
          </w:p>
        </w:tc>
        <w:tc>
          <w:tcPr>
            <w:tcW w:w="220" w:type="dxa"/>
            <w:tcBorders/>
            <w:shd w:fill="FFFFFF" w:val="clear"/>
            <w:tcMar>
              <w:bottom w:w="0" w:type="dxa"/>
            </w:tcMar>
            <w:vAlign w:val="center"/>
          </w:tcPr>
          <w:p>
            <w:pPr>
              <w:pStyle w:val="TableContents"/>
              <w:bidi w:val="0"/>
              <w:spacing w:before="0" w:after="283"/>
              <w:jc w:val="lef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2"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1494" w:type="dxa"/>
            <w:tcBorders/>
            <w:shd w:fill="CCEEFF" w:val="clear"/>
            <w:tcMar>
              <w:bottom w:w="0" w:type="dxa"/>
            </w:tcMar>
            <w:vAlign w:val="center"/>
          </w:tcPr>
          <w:p>
            <w:pPr>
              <w:pStyle w:val="TableContents"/>
              <w:bidi w:val="0"/>
              <w:spacing w:before="0" w:after="283"/>
              <w:jc w:val="both"/>
              <w:rPr/>
            </w:pPr>
            <w:r>
              <w:rPr/>
              <w:t>Mank Capital,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7" w:type="dxa"/>
            <w:tcBorders/>
            <w:shd w:fill="CCEEFF" w:val="clear"/>
            <w:tcMar>
              <w:bottom w:w="0" w:type="dxa"/>
            </w:tcMar>
            <w:vAlign w:val="center"/>
          </w:tcPr>
          <w:p>
            <w:pPr>
              <w:pStyle w:val="TableContents"/>
              <w:bidi w:val="0"/>
              <w:spacing w:before="0" w:after="283"/>
              <w:jc w:val="left"/>
              <w:rPr/>
            </w:pPr>
            <w:r>
              <w:rPr/>
              <w:t> </w:t>
            </w:r>
          </w:p>
        </w:tc>
        <w:tc>
          <w:tcPr>
            <w:tcW w:w="997"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7"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225,000</w:t>
            </w:r>
          </w:p>
        </w:tc>
        <w:tc>
          <w:tcPr>
            <w:tcW w:w="220"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2"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1494" w:type="dxa"/>
            <w:tcBorders/>
            <w:shd w:fill="FFFFFF" w:val="clear"/>
            <w:tcMar>
              <w:bottom w:w="0" w:type="dxa"/>
            </w:tcMar>
            <w:vAlign w:val="center"/>
          </w:tcPr>
          <w:p>
            <w:pPr>
              <w:pStyle w:val="TableContents"/>
              <w:bidi w:val="0"/>
              <w:spacing w:before="0" w:after="283"/>
              <w:jc w:val="both"/>
              <w:rPr/>
            </w:pPr>
            <w:r>
              <w:rPr/>
              <w:t>Aramas Capital Management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7" w:type="dxa"/>
            <w:tcBorders/>
            <w:shd w:fill="FFFFFF" w:val="clear"/>
            <w:tcMar>
              <w:bottom w:w="0" w:type="dxa"/>
            </w:tcMar>
            <w:vAlign w:val="center"/>
          </w:tcPr>
          <w:p>
            <w:pPr>
              <w:pStyle w:val="TableContents"/>
              <w:bidi w:val="0"/>
              <w:spacing w:before="0" w:after="283"/>
              <w:jc w:val="left"/>
              <w:rPr/>
            </w:pPr>
            <w:r>
              <w:rPr/>
              <w:t> </w:t>
            </w:r>
          </w:p>
        </w:tc>
        <w:tc>
          <w:tcPr>
            <w:tcW w:w="997"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7" w:type="dxa"/>
            <w:tcBorders/>
            <w:shd w:fill="FFFFFF" w:val="clear"/>
            <w:tcMar>
              <w:bottom w:w="0" w:type="dxa"/>
            </w:tcMar>
            <w:vAlign w:val="center"/>
          </w:tcPr>
          <w:p>
            <w:pPr>
              <w:pStyle w:val="TableContents"/>
              <w:bidi w:val="0"/>
              <w:spacing w:before="0" w:after="283"/>
              <w:jc w:val="left"/>
              <w:rPr/>
            </w:pPr>
            <w:r>
              <w:rPr/>
              <w:t> </w:t>
            </w:r>
          </w:p>
        </w:tc>
        <w:tc>
          <w:tcPr>
            <w:tcW w:w="1324"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168,750</w:t>
            </w:r>
          </w:p>
        </w:tc>
        <w:tc>
          <w:tcPr>
            <w:tcW w:w="220" w:type="dxa"/>
            <w:tcBorders/>
            <w:shd w:fill="FFFFFF" w:val="clear"/>
            <w:tcMar>
              <w:bottom w:w="0" w:type="dxa"/>
            </w:tcMar>
            <w:vAlign w:val="center"/>
          </w:tcPr>
          <w:p>
            <w:pPr>
              <w:pStyle w:val="TableContents"/>
              <w:bidi w:val="0"/>
              <w:spacing w:before="0" w:after="283"/>
              <w:jc w:val="left"/>
              <w:rPr/>
            </w:pPr>
            <w:r>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2"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1494" w:type="dxa"/>
            <w:tcBorders/>
            <w:shd w:fill="CCEEFF" w:val="clear"/>
            <w:tcMar>
              <w:bottom w:w="0" w:type="dxa"/>
            </w:tcMar>
            <w:vAlign w:val="center"/>
          </w:tcPr>
          <w:p>
            <w:pPr>
              <w:pStyle w:val="TableContents"/>
              <w:bidi w:val="0"/>
              <w:spacing w:before="0" w:after="283"/>
              <w:jc w:val="both"/>
              <w:rPr/>
            </w:pPr>
            <w:r>
              <w:rPr/>
              <w:t>Connective Capital Emerging Energy QP,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7" w:type="dxa"/>
            <w:tcBorders/>
            <w:shd w:fill="CCEEFF" w:val="clear"/>
            <w:tcMar>
              <w:bottom w:w="0" w:type="dxa"/>
            </w:tcMar>
            <w:vAlign w:val="center"/>
          </w:tcPr>
          <w:p>
            <w:pPr>
              <w:pStyle w:val="TableContents"/>
              <w:bidi w:val="0"/>
              <w:spacing w:before="0" w:after="283"/>
              <w:jc w:val="left"/>
              <w:rPr/>
            </w:pPr>
            <w:r>
              <w:rPr/>
              <w:t> </w:t>
            </w:r>
          </w:p>
        </w:tc>
        <w:tc>
          <w:tcPr>
            <w:tcW w:w="997"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7"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128,634</w:t>
            </w:r>
          </w:p>
        </w:tc>
        <w:tc>
          <w:tcPr>
            <w:tcW w:w="220" w:type="dxa"/>
            <w:tcBorders/>
            <w:shd w:fill="CCEEFF" w:val="clear"/>
            <w:tcMar>
              <w:bottom w:w="0" w:type="dxa"/>
            </w:tcMar>
            <w:vAlign w:val="center"/>
          </w:tcPr>
          <w:p>
            <w:pPr>
              <w:pStyle w:val="TableContents"/>
              <w:bidi w:val="0"/>
              <w:spacing w:before="0" w:after="283"/>
              <w:jc w:val="lef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2"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1494" w:type="dxa"/>
            <w:tcBorders/>
            <w:shd w:fill="FFFFFF" w:val="clear"/>
            <w:tcMar>
              <w:bottom w:w="0" w:type="dxa"/>
            </w:tcMar>
            <w:vAlign w:val="center"/>
          </w:tcPr>
          <w:p>
            <w:pPr>
              <w:pStyle w:val="TableContents"/>
              <w:bidi w:val="0"/>
              <w:spacing w:before="0" w:after="283"/>
              <w:jc w:val="both"/>
              <w:rPr/>
            </w:pPr>
            <w:r>
              <w:rPr/>
              <w:t>Connective Capital I QP,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7" w:type="dxa"/>
            <w:tcBorders/>
            <w:shd w:fill="FFFFFF" w:val="clear"/>
            <w:tcMar>
              <w:bottom w:w="0" w:type="dxa"/>
            </w:tcMar>
            <w:vAlign w:val="center"/>
          </w:tcPr>
          <w:p>
            <w:pPr>
              <w:pStyle w:val="TableContents"/>
              <w:bidi w:val="0"/>
              <w:spacing w:before="0" w:after="283"/>
              <w:jc w:val="left"/>
              <w:rPr/>
            </w:pPr>
            <w:r>
              <w:rPr/>
              <w:t> </w:t>
            </w:r>
          </w:p>
        </w:tc>
        <w:tc>
          <w:tcPr>
            <w:tcW w:w="997"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7" w:type="dxa"/>
            <w:tcBorders/>
            <w:shd w:fill="FFFFFF" w:val="clear"/>
            <w:tcMar>
              <w:bottom w:w="0" w:type="dxa"/>
            </w:tcMar>
            <w:vAlign w:val="center"/>
          </w:tcPr>
          <w:p>
            <w:pPr>
              <w:pStyle w:val="TableContents"/>
              <w:bidi w:val="0"/>
              <w:spacing w:before="0" w:after="283"/>
              <w:jc w:val="left"/>
              <w:rPr/>
            </w:pPr>
            <w:r>
              <w:rPr/>
              <w:t> </w:t>
            </w:r>
          </w:p>
        </w:tc>
        <w:tc>
          <w:tcPr>
            <w:tcW w:w="1324"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28,866</w:t>
            </w:r>
          </w:p>
        </w:tc>
        <w:tc>
          <w:tcPr>
            <w:tcW w:w="220" w:type="dxa"/>
            <w:tcBorders/>
            <w:shd w:fill="FFFFFF" w:val="clear"/>
            <w:tcMar>
              <w:bottom w:w="0" w:type="dxa"/>
            </w:tcMar>
            <w:vAlign w:val="center"/>
          </w:tcPr>
          <w:p>
            <w:pPr>
              <w:pStyle w:val="TableContents"/>
              <w:bidi w:val="0"/>
              <w:spacing w:before="0" w:after="283"/>
              <w:jc w:val="left"/>
              <w:rPr/>
            </w:pPr>
            <w:r>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2"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1.0%.</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Exchange Act. Shares of Class B common stock subject to options, warrants or other rights that are exercisable or convertible within 60 days of August 6, 2026 are deemed beneficially owned by the holder of such securities for purposes of this table. Except as otherwise indicated, the Warrants are not exercisable until January 13, 2027 and therefore the shares of Class B common stock issuable upon exercise of the Warrants are not included in the number of shares beneficially owned prior to this offering unless such shares are otherwise deemed beneficially owned under Rule 13d-3 as of the applicable measurement date.</w:t>
            </w:r>
          </w:p>
        </w:tc>
      </w:tr>
      <w:tr>
        <w:trPr/>
        <w:tc>
          <w:tcPr>
            <w:tcW w:w="209"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Percentages are based on 28,560,115 shares of Class B common stock outstanding as of August 6, 2026. For purposes of calculating the percentage of outstanding shares beneficially owned by a Selling Stockholder, shares of Class B common stock that such Selling Stockholder has the right to acquire within 60 days of August 6, 2026 are deemed outstanding, but such shares are not deemed outstanding for purposes of calculating the percentage ownership of any other Selling Stockholder.</w:t>
            </w:r>
          </w:p>
        </w:tc>
      </w:tr>
      <w:tr>
        <w:trPr/>
        <w:tc>
          <w:tcPr>
            <w:tcW w:w="209"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full number of shares of Class B common stock issuable upon exercise of the Warrants held by the applicable Selling Stockholder and registered for resale pursuant to the registration statement of which this prospectus forms a part. The number of shares in this column does not give effect to the 60-day exercisability rule under Rule 13d-3 or to any beneficial ownership limitation contained in the Warrants.</w:t>
            </w:r>
          </w:p>
        </w:tc>
      </w:tr>
      <w:tr>
        <w:trPr/>
        <w:tc>
          <w:tcPr>
            <w:tcW w:w="209"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3,375,000 shares of Class B common stock issuable upon exercise of Warrants held by Polar Asset Management Partners Inc. The Warrants held by Polar Asset Management Partners Inc. are subject to a beneficial ownership limitation of 9.99%, which prevents exercise to the extent that, after giving effect to such exercise, Polar Asset Management Partners Inc., together with certain related parties, would beneficially own more than 9.99% of our outstanding shares of Class B common stock. The address of Polar Asset Management Partners Inc. is 16 York Street, Suite 2900, Toronto, Ontario M5J 0E6, Canada.</w:t>
            </w:r>
          </w:p>
        </w:tc>
      </w:tr>
      <w:tr>
        <w:trPr/>
        <w:tc>
          <w:tcPr>
            <w:tcW w:w="209"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393,750 shares of Class B common stock issuable upon exercise of Warrants held by Robert Forster. The Warrants held by Robert Forster are subject to a beneficial ownership limitation of 4.99%, which prevents exercise to the extent that, after giving effect to such exercise, Robert Forster, together with certain related parties, would beneficially own more than 4.99% of our outstanding shares of Class B common stock. The address of Robert Forster is 54 Deepdale Dr., Great Neck, NY 11021.</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225,000 shares of Class B common stock issuable upon exercise of Warrants held by Mank Capital, LLC. The Warrants held by Mank Capital, LLC are subject to a beneficial ownership limitation of 4.99%, which prevents exercise to the extent that, after giving effect to such exercise, Mank Capital, LLC, together with certain related parties, would beneficially own more than 4.99% of our outstanding shares of Class B common stock. The address of Mank Capital, LLC is 347 West 87th Street, Apt. 2R, New York, NY 10024.</w:t>
            </w:r>
          </w:p>
        </w:tc>
      </w:tr>
      <w:tr>
        <w:trPr/>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168,750 shares of Class B common stock issuable upon exercise of Warrants held by Aramas Capital Management LLC. The Warrants held by Aramas Capital Management LLC are subject to a beneficial ownership limitation of 4.99%, which prevents exercise to the extent that, after giving effect to such exercise, Aramas Capital Management LLC, together with certain related parties, would beneficially own more than 4.99% of our outstanding shares of Class B common stock. The address of Aramas Capital Management LLC is 19 Orchard Street, Manhasset, NY 11030.</w:t>
            </w:r>
          </w:p>
        </w:tc>
      </w:tr>
      <w:tr>
        <w:trPr/>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128,634 shares of Class B common stock issuable upon exercise of Warrants held by Connective Capital Emerging Energy QP, LP. The Warrants held by Connective Capital Emerging Energy QP, LP are subject to a beneficial ownership limitation of 4.99%, which prevents exercise to the extent that, after giving effect to such exercise, Connective Capital Emerging Energy QP, LP, together with certain related parties, would beneficially own more than 4.99% of our outstanding shares of Class B common stock. The address of Connective Capital Emerging Energy QP, LP is 385 Homer Avenue, Palo Alto, CA 94301.</w:t>
            </w:r>
          </w:p>
        </w:tc>
      </w:tr>
      <w:tr>
        <w:trPr/>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28,866 shares of Class B common stock issuable upon exercise of Warrants held by Connective Capital I QP, LP. The Warrants held by Connective Capital I QP, LP are subject to a beneficial ownership limitation of 4.99%, which prevents exercise to the extent that, after giving effect to such exercise, Connective Capital I QP, LP, together with certain related parties, would beneficially own more than 4.99% of our outstanding shares of Class B common stock. The address of Connective Capital I QP, LP is 385 Homer Avenue, Palo Alto, CA 94301.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pp_007"/>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to be offered and sold using this prospectus will be offered and sold by the Selling Stockholders named in this prospectus. Accordingly, we will not receive any proceeds from any sale of shares of Common Stock in this offering. However, we will receive the exercise price per share for each Warrant exercised for cash; however, we are unable to predict the timing or amount of potential Warrant exercises. As such, we have not allocated any proceeds of such exercises to any particular purpose. Accordingly, all such proceeds, if any, will be used for working capital and other general corporate purposes.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pp_009"/>
      <w:bookmarkEnd w:id="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of the securities and any of their pledgees, assignees and successors-in-interest may, from time to time, sell any or all of their securities covered hereby on Nasdaq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Selling Stockholders to sell a specified number of such securities at a stipulated price per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if available, rather than under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the registration statement of which this prospectus is a part effective until at all times until the Holders no longer own any Warrants or the shares issuable upon exercise thereof.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on Nasdaq under the symbol “SEV.”</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pp_010"/>
      <w:bookmarkEnd w:id="9"/>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descriptions summarize important terms of our capital stock. This summary reflects Aptera’s Amended and Restated Certificate of Incorporation (the “Amended Charter”) and does not purport to be complete and is qualified in its entirety by the Amended Charter and the Amended and Restated Bylaws (the “Bylaws”), which have been filed as Exhibits to the registration statement of which this prospectus forms a part. For a complete description of Aptera’s capital stock, you should refer to our Amended Charter and our Bylaws and applicable provisions of the Delaware General Corporation Law.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6, 2026, the authorized capital stock of the Company consists of 305,000,000 shares of common stock, par value $0.0001 per share, 190,000,000 of which shares are designated as “Class A common stock” and 115,000,000 of which shares are designated as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6, 2026, the Company has the following outstanding securities:</w:t>
      </w:r>
    </w:p>
    <w:p>
      <w:pPr>
        <w:pStyle w:val="TextBody"/>
        <w:bidi w:val="0"/>
        <w:spacing w:before="0" w:after="0"/>
        <w:ind w:left="0" w:right="0" w:firstLine="72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11,983,010 shares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28,560,115 shares of Class B Common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20,000,000 shares of Preferred Stock may be issued from time to time in one or more series by a resolution of the Board of Directors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has voting rights and our Class B common stock does not have voting rights under our Amended Charter. See “Common Stock - Voting Rights” and “Preferred Stock - Voting Rights” below for further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 has the same rights and powers of, ranks equally to, shares ratably with and is identical in all respects, and as to all matters to Class A common stock; except that our Class B common stock is non-voting and is not entitled to any votes on any matter that is submitted to a vote of our stockholders, except as required by Delaware law.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is non-voting and is not entitled to any votes on any matter that is submitted to a vote of our stockholders, except as required by Delaware law, for instance, if we were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par value of the common stock;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 our Amended Charter to alter the powers, preferences, or special rights of the common stock as a whole in a way that would adversely affect the holders of our Class B common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for changes in par value, it would require the majority approval of all holders of our common stock to approve such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Delaware law would permit holders of Class B common stock to vote separately, as a single class, if an amendment to our Amended Charter would adversely affect them by altering the powers, preferences, or special rights of the Class B common stock, but not the Class A common stock. As a result, in these limited instances, the holders of a majority of the Class B common stock could defeat any amendment to our Amended Charter. For example, if a proposed amendment of our Amended Charter provided for the Class B common stock to rank junior to the Class A common stock with respect to (i) any dividend or distribution, (ii) the distribution of proceeds were we to be acquired, or (iii) any other right, Delaware law would require the vote of the Class B common stock, with each share of Class B common stock entitled to one vote per share. In this instance, the holders of a majority of Class B common stock could defeat that amendment to our Amended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upon and following the “Final Conversion Date” -defined as the date that no shares of Class A common stock remain outstanding-holders of Class B common stock will be entitled to one vote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provides that the number of authorized shares of common stock or any class of common stock, including our Class B common stock, may be increased or decreased (but not below the number of shares of common stock then outstanding) by the affirmative vote of the holders of a majority of the Class A common stock. As a result, the holders of a majority of the outstanding Class A common stock can approve an increase or decrease in the number of authorized shares of Class B common stock without a separate vote of the holders of Class B common stock. This could allow us to increase and issue additional shares of Class B common stock beyond what is currently authorized in our Amended Charter without the consent of the holders of our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shares of Class A common stock will be entitled to one vote for each share thereof held at the record date for the determination of the stockholders entitled to vote on such matters or, if no such record date is established, the date such vote is taken or any written consent of stockholders is solicited.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A common stock shall be entitled to elect, remove and replace all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class of capital stock having prior rights to dividends, the holders of the Class A common stock and the Class B common stock shall be entitled to receive, on a pari passu basis, when and as declared by the Board of Directors, out of any assets of the Company legally available therefore, such dividends as may be declared from time to time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class of capital stock having prior rights to dividends, in the event of the Company’s liquidation, or winding up, whether voluntary or involuntary, subject to the rights of any Preferred Stock that may then be outstanding, the assets of the Company legally available for distribution to stockholders shall be distributed on an equal priority, pro rata basis to the holders of Class A and Class B common stock, treated as a single class.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Class A common stock is convertible at any time at the option of the holder into one share of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transfer of shares of Class A common stock, whether or not for value, each such transferred share will automatically convert into one share of Class B common stock, except for certain transfers described in our Amended Charter, including certain transfers for tax and estate planning purposes, transfers approved by our Board, and transfers to certain family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Right of First Refusal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2,266,105 shares of the Company’s Class A common stock are subject to transfer restrictions. Should the holders of those shares wish to sell or transfer their securities, except under certain limited circumstances, the Company has a right of first refusal to purchase those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Other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Aptera’s Class A and Class B common stock have no preemptive, subscription or other rights, and there are no redemption or sinking fund provisions applicable to Aptera’s Class A or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Amended Charter, our board of directors will have the authority, without further action by our stockholders, to designate and issue shares of Preferred Stock in one or more series. Our board of directors may also designate the rights, preferences and privileges of the holders of each such series of Preferred Stock, any or all of which may be greater than or senior to those granted to the holders of common stock. Though the actual effect of any such issuance on the rights of the holders of common stock will not be known until such time as our board of directors determines the specific rights of the holders of Preferred Stock, the potential effects of such an issuance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diluting the voting power of the holders of common stock; reducing the likelihood that holders of common stock will receive dividend payments;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likelihood that holders of common stock will receive payments in the event of our liquidation, dissolution, or winding up;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deterring, or preventing a change-in-control or other corporate takeover.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All Classes of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is non-voting and is not entitled to any votes on any matter that is submitted to a vote of our stockholders, except as required by Delaware law. Delaware law would permit holders of Class B common stock to vote, with one vote per share, on a matter if we were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par value of the common stock;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 our Amended Charter to alter the powers, preferences, or special rights of the common stock as a whole in a way that would adversely affect the holders of our Class B common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Delaware law would permit holders of Class B common stock to vote separately, as a single class, if an amendment to our Amended Charter would adversely affect them by altering the powers, preferences, or special rights of the Class B common stock, but not the Class A common stock. As a result, in these limited instances, the holders of a majority of the Class B common stock could defeat any amendment to our Amended Charter. For example, if a proposed amendment of our Amended Charter provided for the Class B common stock to rank junior to the Class A common stock with respect to (i) any dividend or distribution, (ii) the distribution of proceeds were we to be acquired, or (iii) any other right, Delaware law would require the vote of the Class B common stock, with each share of Class B common stock entitled to one vote per share. In this instance, the holders of a majority of Class B common stock could defeat that amendment to our Amended Charter.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upon and following the “Final Conversion Date” -defined as the date that no shares of Class A common stock remain outstanding-holders of Class B common stock will be entitled to one vote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provides that the number of authorized shares of common stock or any class of common stock, including our Class B common stock, may be increased or decreased (but not below the number of shares of common stock then outstanding) by the affirmative vote of the holders of a majority of the Class A common stock. As a result, the holders of a majority of the outstanding Class A common stock can approve an increase or decrease in the number of authorized shares of Class B common stock without a separate vote of the holders of Class B common stock. This could allow us to increase and issue additional shares of Class B common stock beyond what is currently authorized in our Amended Charter without the consent of the holders of our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shares of Class A common stock will be entitled to one vote for each share thereof held at the record date for the determination of the stockholders entitled to vote on such matters or, if no such record date is established, the date such vote is taken or any written consent of stockholders is solicited.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A common stock shall be entitled to elect, remove and replace all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Dividend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Class A common stock and the Class B common stock shall be entitled to receive, on a pari passu basis, when and as declared by the Board of Directors, out of any assets of the Company legally available therefore, such dividends as may be declared from time to time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Liquidation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Company’s liquidation, or winding up, whether voluntary or involuntary, subject to the rights of any Preferred Stock that may then be outstanding, the assets of the Company legally available for distribution to stockholders shall be distributed on an equal priority, pro rata basis to the holders of Class A and Class B common stock, treated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Conversion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Class A common stock is convertible at any time at the option of the holder into one share of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transfer of shares of Class A common stock, whether or not for value, each such transferred share will automatically convert into one share of Class B common stock, except for certain transfers described in our Amended Charter, including certain transfers for tax and estate planning purposes, transfers approved by our Board, and transfers to certain family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First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2,266,105 shares of the Company’s Class A common stock are subject to transfer restrictions. Should the holders of those shares wish to sell or transfer their securities, except under certain limited circumstances, the Company has a right of first refusal to purchase those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Aptera’s Class A and Class B common stock have no preemptive, subscription or other rights, and there are no redemption or sinking fund provisions applicable to Aptera’s Class A or Class B common stock.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Public Benefit Corporation Status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benefit corporation under subchapter XV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Amended Charter. We are also required to assess our benefit performance internally and to disclose to stockholders at least biennially a report that details our promotion of the public benefits identified in our Amended Charter and of the best interests of those materially affected by our conduct. We expect that our board of directors will measure our benefit performance against the objectives and standards proposed by the Company and approved by the board of directors. When determining the objectives and standards by which our board of directors will measure our public benefit performance, our board of directors will consider, among other factors, whether the objectives and standards are (i) comprehensive in that they assess the positive impact of our business on the communities in which we operate, and society and the environment, taken as a whole, (ii) credible in that they are comparable to the objectives and standards created by independent third parties that evaluate the corporate ethics, sustainability and governance practices of other public benefit corporations, and (iii) transparent in that the criteria considered for measuring such objectives and standards be made publicly available, including disclosing the process by which revisions to the objectives and standards are made and whether such objectives and standards present real or potential conflicts of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our stockholders may bring a derivative suit to enforce this requirement only if they own (individually or collectively), at least 2% of our outstanding shares or, upon our listing, the lesser of such percentage or shares of at least $2 million in market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Exclusive Forum Provision of our Certificate of Incorporation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contains exclusive forum provisions that designate specific courts as the exclusive forums for certain legal actions. These provisions are intended to reduce the risk of costly and duplicative litigation but may limit a stockholder’s ability to bring claims in a judicial forum of their choosing.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our Amended Charter provides that, to the fullest extent permitted by law, the Court of Chancery of the State of Delaware will be the exclusive forum for: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derivative action or proceeding brought on our behalf;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of breach of fiduciary duty;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arising pursuant to the Delaware General Corporation Law (DGCL), our Amended Charter, or our Bylaws;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governed by the internal affairs doctrine.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Amended Charter contains a federal forum provision that provides that the U.S. federal district courts shall be the exclusive forum for the resolution of any complaint asserting a cause of action arising under the Securities Act to the fullest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exclusive forum provisions do not apply to claims under the Exchange Act which is subject to exclusive federal jurisdiction under Section 27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our securities will be deemed to have notice of, and consented to, these exclusive forum provisions, including the federal forum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limit our stockholders’ ability to bring a claim in a forum they find favorable and may discourage lawsuits against us or our directors, officers, or employees. If a court were to find any of these provisions to be inapplicable or unenforceable in a particular case, we could incur additional costs associated with resolving the dispute in alternative jurisdictions, which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on Nasdaq under the symbol “SEV.”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of our Common Stock is Computershare Trust Company, N.A.</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pp_011"/>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will be passed upon for us by Lowenstein Sandler LLP, New York,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pp_012"/>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Aptera Motors Corp. as of December 31, 2025 and 2024, and for the years then ended, appearing in Aptera Motor Corp.’s Annual Report on Form 10-K for the year ended December 31, 2025, have been audited by dbbMcKennon, independent registered public accounting firm, as set forth in their report thereon and incorporated herein by reference. Such financial statements are incorporated herein by reference in reliance upon such report of dbbMcKennon pertaining to such financial statements given on the authority of such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pp_013"/>
      <w:bookmarkEnd w:id="1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Securities and Exchange Commission (“SEC”) a registration statement on Form S-1 under the Securities Act, as amended (the “Securities Act”) for the securities being offered by this prospectus. This prospectus, which is part of the registration statement, does not contain all of the information included in the registration statement and the exhibits. For further information about us and the securities offered by this prospectus, you should refer to the registration statement and its exhibits. References in this prospectus to any of our contracts or other documents are not necessarily complete, and you should refer to the exhibits attached to the registration statement for copies of the actual contract or document. SEC filings are also available to the public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and information requirements of the Exchange Act and, as a result, we file periodic and current reports, proxy statements and other information with the SEC. We make our periodic reports and other information filed with or furnished to the SEC, available, free of charge, through our website as soon as reasonably practicable after those reports and other information are filed with or furnished to the SEC. Additionally, these periodic reports, proxy statements and other information are available for inspection and copying at the public reference room and website of the SEC referred to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maintain a website at the following address: </w:t>
      </w:r>
      <w:r>
        <w:rPr>
          <w:rFonts w:ascii="Times New Roman;Times;Serif" w:hAnsi="Times New Roman;Times;Serif"/>
          <w:b w:val="false"/>
          <w:i/>
          <w:caps w:val="false"/>
          <w:smallCaps w:val="false"/>
          <w:sz w:val="20"/>
        </w:rPr>
        <w:t>https://aptera.us</w:t>
      </w:r>
      <w:r>
        <w:rPr>
          <w:rFonts w:ascii="Times New Roman;Times;Serif" w:hAnsi="Times New Roman;Times;Serif"/>
          <w:b w:val="false"/>
          <w:i w:val="false"/>
          <w:caps w:val="false"/>
          <w:smallCaps w:val="false"/>
          <w:sz w:val="20"/>
        </w:rPr>
        <w:t>. The information on our website is not incorporated by reference in this prospectus. We also make available on or through our website certain reports and amendments to those reports that we file with or furnish to the SEC in accordance with the Securities Exchange Act of 1934, as amended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 In addition, we routinely post on the “Investors” page of our website news releases, announcements and other statements about our business and results of operations, some of which may contain information that may be deemed material to investors. Therefore, we encourage investors to monitor the “Investors” page of our website and review the information we post on that page.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pp_014"/>
      <w:bookmarkEnd w:id="13"/>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 that we have previously filed with the SEC:</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filed on March 30,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Reports on Form 10-Q for the periods ended </w:t>
            </w:r>
            <w:hyperlink r:id="rId4">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filed on May 13, 2026 and August 12, 2026, respectively;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t>
            </w:r>
            <w:hyperlink r:id="rId6">
              <w:r>
                <w:rPr>
                  <w:rStyle w:val="InternetLink"/>
                  <w:rFonts w:ascii="Times New Roman;Times;Serif" w:hAnsi="Times New Roman;Times;Serif"/>
                  <w:b w:val="false"/>
                  <w:i w:val="false"/>
                  <w:caps w:val="false"/>
                  <w:smallCaps w:val="false"/>
                  <w:sz w:val="20"/>
                </w:rPr>
                <w:t>January 26,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March 12,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April 14,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July 7,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July 13, 2026</w:t>
              </w:r>
            </w:hyperlink>
            <w:r>
              <w:rPr>
                <w:rFonts w:ascii="Times New Roman;Times;Serif" w:hAnsi="Times New Roman;Times;Serif"/>
                <w:b w:val="false"/>
                <w:i w:val="false"/>
                <w:caps w:val="false"/>
                <w:smallCaps w:val="false"/>
                <w:sz w:val="20"/>
              </w:rPr>
              <w:t xml:space="preserve"> and </w:t>
            </w:r>
            <w:hyperlink r:id="rId11">
              <w:r>
                <w:rPr>
                  <w:rStyle w:val="InternetLink"/>
                  <w:rFonts w:ascii="Times New Roman;Times;Serif" w:hAnsi="Times New Roman;Times;Serif"/>
                  <w:b w:val="false"/>
                  <w:i w:val="false"/>
                  <w:caps w:val="false"/>
                  <w:smallCaps w:val="false"/>
                  <w:sz w:val="20"/>
                </w:rPr>
                <w:t>August 14, 2026</w:t>
              </w:r>
            </w:hyperlink>
            <w:r>
              <w:rPr>
                <w:rFonts w:ascii="Times New Roman;Times;Serif" w:hAnsi="Times New Roman;Times;Serif"/>
                <w:b w:val="false"/>
                <w:i w:val="false"/>
                <w:caps w:val="false"/>
                <w:smallCaps w:val="false"/>
                <w:sz w:val="20"/>
              </w:rPr>
              <w:t xml:space="preserve"> (other than any portions deemed furnished and not filed);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our Registration Statement on </w:t>
            </w:r>
            <w:hyperlink r:id="rId12">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September 30, 2025, including any amendments thereto or reports filed for the purposes of updating this description, including </w:t>
            </w:r>
            <w:hyperlink r:id="rId13">
              <w:r>
                <w:rPr>
                  <w:rStyle w:val="InternetLink"/>
                  <w:rFonts w:ascii="Times New Roman;Times;Serif" w:hAnsi="Times New Roman;Times;Serif"/>
                  <w:b w:val="false"/>
                  <w:i w:val="false"/>
                  <w:caps w:val="false"/>
                  <w:smallCaps w:val="false"/>
                  <w:sz w:val="20"/>
                </w:rPr>
                <w:t>Exhibit 4.12</w:t>
              </w:r>
            </w:hyperlink>
            <w:r>
              <w:rPr>
                <w:rFonts w:ascii="Times New Roman;Times;Serif" w:hAnsi="Times New Roman;Times;Serif"/>
                <w:b w:val="false"/>
                <w:i w:val="false"/>
                <w:caps w:val="false"/>
                <w:smallCaps w:val="false"/>
                <w:sz w:val="20"/>
              </w:rPr>
              <w:t xml:space="preserve"> to our Annual Report on Form 10-K for the year ended December 31, 2025, filed with the SEC on March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drawing>
          <wp:inline distT="0" distB="0" distL="0" distR="0">
            <wp:extent cx="694690" cy="6946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694690" cy="69469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4,320,000 Shares of Class B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Issuable Upon Exercise of Outstanding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August 20,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86471/000149315226013581/form10-k.htm" TargetMode="External"/><Relationship Id="rId4" Type="http://schemas.openxmlformats.org/officeDocument/2006/relationships/hyperlink" Target="https://www.sec.gov/Archives/edgar/data/1786471/000149315226022732/form10-q.htm" TargetMode="External"/><Relationship Id="rId5" Type="http://schemas.openxmlformats.org/officeDocument/2006/relationships/hyperlink" Target="https://www.sec.gov/Archives/edgar/data/1786471/000149315226037373/form10-q.htm" TargetMode="External"/><Relationship Id="rId6" Type="http://schemas.openxmlformats.org/officeDocument/2006/relationships/hyperlink" Target="https://www.sec.gov/Archives/edgar/data/1786471/000149315226003512/form8-k.htm" TargetMode="External"/><Relationship Id="rId7" Type="http://schemas.openxmlformats.org/officeDocument/2006/relationships/hyperlink" Target="https://www.sec.gov/Archives/edgar/data/1786471/000149315226009780/form8-k.htm" TargetMode="External"/><Relationship Id="rId8" Type="http://schemas.openxmlformats.org/officeDocument/2006/relationships/hyperlink" Target="https://www.sec.gov/Archives/edgar/data/1786471/000149315226016473/form8-k.htm" TargetMode="External"/><Relationship Id="rId9" Type="http://schemas.openxmlformats.org/officeDocument/2006/relationships/hyperlink" Target="https://www.sec.gov/Archives/edgar/data/1786471/000149315226032258/form8-k.htm" TargetMode="External"/><Relationship Id="rId10" Type="http://schemas.openxmlformats.org/officeDocument/2006/relationships/hyperlink" Target="https://www.sec.gov/Archives/edgar/data/1786471/000149315226033058/form8-k.htm" TargetMode="External"/><Relationship Id="rId11" Type="http://schemas.openxmlformats.org/officeDocument/2006/relationships/hyperlink" Target="https://www.sec.gov/Archives/edgar/data/1786471/000149315226037987/form8-k.htm" TargetMode="External"/><Relationship Id="rId12" Type="http://schemas.openxmlformats.org/officeDocument/2006/relationships/hyperlink" Target="https://www.sec.gov/Archives/edgar/data/1786471/000149315225016237/form8a12b.htm" TargetMode="External"/><Relationship Id="rId13" Type="http://schemas.openxmlformats.org/officeDocument/2006/relationships/hyperlink" Target="https://www.sec.gov/Archives/edgar/data/1786471/000149315226013581/ex4-12.htm" TargetMode="External"/><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10303</Words>
  <Characters>53992</Characters>
  <CharactersWithSpaces>64361</CharactersWithSpaces>
  <Paragraphs>850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